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141DB" w14:textId="0F4C57C0" w:rsidR="00570B52" w:rsidRPr="005A5862" w:rsidRDefault="00570B52" w:rsidP="00570B52">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8</w:t>
      </w:r>
      <w:r w:rsidRPr="005A5862">
        <w:rPr>
          <w:bCs/>
          <w:noProof w:val="0"/>
          <w:sz w:val="24"/>
          <w:szCs w:val="24"/>
        </w:rPr>
        <w:tab/>
      </w:r>
      <w:r w:rsidR="00A152CE" w:rsidRPr="00A152CE">
        <w:rPr>
          <w:bCs/>
          <w:noProof w:val="0"/>
          <w:sz w:val="24"/>
          <w:szCs w:val="24"/>
        </w:rPr>
        <w:t>R2-2410241</w:t>
      </w:r>
      <w:r w:rsidR="00A152CE" w:rsidRPr="005A5862" w:rsidDel="00A152CE">
        <w:rPr>
          <w:bCs/>
          <w:noProof w:val="0"/>
          <w:sz w:val="24"/>
          <w:szCs w:val="24"/>
        </w:rPr>
        <w:t xml:space="preserve"> </w:t>
      </w:r>
    </w:p>
    <w:p w14:paraId="6E2982FC" w14:textId="24578282" w:rsidR="00A76B2A" w:rsidRDefault="00570B52" w:rsidP="00A76B2A">
      <w:pPr>
        <w:pStyle w:val="Header"/>
        <w:rPr>
          <w:i/>
          <w:iCs/>
          <w:sz w:val="24"/>
        </w:rPr>
      </w:pPr>
      <w:r>
        <w:rPr>
          <w:sz w:val="24"/>
        </w:rPr>
        <w:t>Orlando</w:t>
      </w:r>
      <w:r w:rsidRPr="005A5862">
        <w:rPr>
          <w:sz w:val="24"/>
        </w:rPr>
        <w:t xml:space="preserve">, </w:t>
      </w:r>
      <w:r>
        <w:rPr>
          <w:sz w:val="24"/>
        </w:rPr>
        <w:t>USA</w:t>
      </w:r>
      <w:r w:rsidRPr="005A5862">
        <w:rPr>
          <w:sz w:val="24"/>
        </w:rPr>
        <w:t xml:space="preserve">, </w:t>
      </w:r>
      <w:r>
        <w:rPr>
          <w:sz w:val="24"/>
        </w:rPr>
        <w:t>18</w:t>
      </w:r>
      <w:r w:rsidRPr="005A5862">
        <w:rPr>
          <w:sz w:val="24"/>
        </w:rPr>
        <w:t xml:space="preserve"> – </w:t>
      </w:r>
      <w:r>
        <w:rPr>
          <w:sz w:val="24"/>
        </w:rPr>
        <w:t>22</w:t>
      </w:r>
      <w:r w:rsidRPr="005A5862">
        <w:rPr>
          <w:sz w:val="24"/>
        </w:rPr>
        <w:t xml:space="preserve"> </w:t>
      </w:r>
      <w:r>
        <w:rPr>
          <w:sz w:val="24"/>
        </w:rPr>
        <w:t>November</w:t>
      </w:r>
      <w:r w:rsidRPr="005A5862">
        <w:rPr>
          <w:sz w:val="24"/>
        </w:rPr>
        <w:t xml:space="preserve"> 2024</w:t>
      </w:r>
      <w:r>
        <w:rPr>
          <w:sz w:val="24"/>
        </w:rPr>
        <w:tab/>
        <w:t xml:space="preserve">                                                        </w:t>
      </w:r>
    </w:p>
    <w:p w14:paraId="0100B860" w14:textId="77777777" w:rsidR="00570B52" w:rsidRPr="00B266B0" w:rsidRDefault="00570B52" w:rsidP="00A76B2A">
      <w:pPr>
        <w:pStyle w:val="Header"/>
        <w:rPr>
          <w:bCs/>
          <w:noProof w:val="0"/>
          <w:sz w:val="24"/>
        </w:rPr>
      </w:pPr>
    </w:p>
    <w:p w14:paraId="4992DEA7" w14:textId="6767E904" w:rsidR="00A76B2A" w:rsidRPr="00B266B0" w:rsidRDefault="00A76B2A" w:rsidP="00A76B2A">
      <w:pPr>
        <w:pStyle w:val="CRCoverPage"/>
        <w:tabs>
          <w:tab w:val="left" w:pos="1985"/>
        </w:tabs>
        <w:rPr>
          <w:rFonts w:cs="Arial"/>
          <w:b/>
          <w:bCs/>
          <w:sz w:val="24"/>
          <w:lang w:eastAsia="ja-JP"/>
        </w:rPr>
      </w:pPr>
      <w:r w:rsidRPr="00B266B0">
        <w:rPr>
          <w:rFonts w:cs="Arial"/>
          <w:b/>
          <w:bCs/>
          <w:sz w:val="24"/>
        </w:rPr>
        <w:t>Agenda item:</w:t>
      </w:r>
      <w:r>
        <w:rPr>
          <w:rFonts w:cs="Arial"/>
          <w:b/>
          <w:bCs/>
          <w:sz w:val="24"/>
        </w:rPr>
        <w:tab/>
        <w:t xml:space="preserve">8.11.2 </w:t>
      </w:r>
    </w:p>
    <w:p w14:paraId="22749618" w14:textId="77777777" w:rsidR="00A76B2A" w:rsidRPr="00B266B0" w:rsidRDefault="00A76B2A" w:rsidP="00A76B2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6DAEDFFF" w14:textId="252B7DFD" w:rsidR="00A76B2A" w:rsidRDefault="00A76B2A" w:rsidP="00A76B2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Random </w:t>
      </w:r>
      <w:r w:rsidR="00D01028">
        <w:rPr>
          <w:rFonts w:ascii="Arial" w:hAnsi="Arial" w:cs="Arial"/>
          <w:b/>
          <w:bCs/>
          <w:sz w:val="24"/>
        </w:rPr>
        <w:t xml:space="preserve">Access </w:t>
      </w:r>
      <w:r w:rsidR="00E6099E">
        <w:rPr>
          <w:rFonts w:ascii="Arial" w:hAnsi="Arial" w:cs="Arial"/>
          <w:b/>
          <w:bCs/>
          <w:sz w:val="24"/>
        </w:rPr>
        <w:t>Operation</w:t>
      </w:r>
      <w:r>
        <w:rPr>
          <w:rFonts w:ascii="Arial" w:hAnsi="Arial" w:cs="Arial"/>
          <w:b/>
          <w:bCs/>
          <w:sz w:val="24"/>
        </w:rPr>
        <w:t xml:space="preserve"> of SBFD</w:t>
      </w:r>
    </w:p>
    <w:p w14:paraId="68D42C33" w14:textId="77777777" w:rsidR="00A76B2A" w:rsidRPr="00B266B0" w:rsidRDefault="00A76B2A" w:rsidP="00A76B2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C1A4F">
        <w:rPr>
          <w:rFonts w:ascii="Arial" w:hAnsi="Arial" w:cs="Arial"/>
          <w:b/>
          <w:bCs/>
          <w:sz w:val="24"/>
        </w:rPr>
        <w:t>NR_duplex_evo</w:t>
      </w:r>
      <w:proofErr w:type="spellEnd"/>
      <w:r w:rsidRPr="001C1A4F">
        <w:rPr>
          <w:rFonts w:ascii="Arial" w:hAnsi="Arial" w:cs="Arial"/>
          <w:b/>
          <w:bCs/>
          <w:sz w:val="24"/>
        </w:rPr>
        <w:t>-Core</w:t>
      </w:r>
      <w:r>
        <w:rPr>
          <w:rFonts w:ascii="Arial" w:hAnsi="Arial" w:cs="Arial"/>
          <w:b/>
          <w:bCs/>
          <w:sz w:val="24"/>
        </w:rPr>
        <w:t xml:space="preserve"> - Release 19</w:t>
      </w:r>
    </w:p>
    <w:p w14:paraId="2EB09664" w14:textId="77777777" w:rsidR="00A76B2A" w:rsidRPr="00B266B0" w:rsidRDefault="00A76B2A" w:rsidP="00A76B2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9C49C3" w:rsidR="00A209D6" w:rsidRPr="006E13D1" w:rsidRDefault="00A209D6" w:rsidP="00227B19">
      <w:pPr>
        <w:pStyle w:val="Heading1"/>
      </w:pPr>
      <w:r>
        <w:t>Introduction</w:t>
      </w:r>
    </w:p>
    <w:p w14:paraId="4F9D96FF" w14:textId="6FDE5619" w:rsidR="002B74DB" w:rsidRDefault="00E22715" w:rsidP="00E90DCE">
      <w:pPr>
        <w:jc w:val="both"/>
      </w:pPr>
      <w:r w:rsidRPr="00523CAE">
        <w:t xml:space="preserve">In RAN#102 meeting, a Work Item (WI) on Evolution of NR duplex operation: </w:t>
      </w:r>
      <w:proofErr w:type="spellStart"/>
      <w:r>
        <w:t>Subband</w:t>
      </w:r>
      <w:proofErr w:type="spellEnd"/>
      <w:r w:rsidRPr="00523CAE">
        <w:t xml:space="preserve"> full duplex (SBFD) </w:t>
      </w:r>
      <w:r>
        <w:t>was</w:t>
      </w:r>
      <w:r w:rsidRPr="00523CAE">
        <w:t xml:space="preserve"> approved. </w:t>
      </w:r>
      <w:r w:rsidR="00F275F4" w:rsidRPr="005576E1">
        <w:rPr>
          <w:lang w:val="en-US"/>
        </w:rPr>
        <w:t xml:space="preserve">SBFD is being specified in Rel-19 as a new mode of operation in unpaired spectrum where </w:t>
      </w:r>
      <w:r w:rsidR="00F275F4">
        <w:rPr>
          <w:lang w:val="en-US"/>
        </w:rPr>
        <w:t xml:space="preserve">a </w:t>
      </w:r>
      <w:r w:rsidR="00F275F4" w:rsidRPr="005576E1">
        <w:rPr>
          <w:lang w:val="en-US"/>
        </w:rPr>
        <w:t>separate set of RBs within a TDD carrier are used for UL and DL transmission simultaneously. The intention is to allow more UL transmission opportunities compared to the typical DL-heavy TDD configurations used in today’s TDD deployments. This bring benefits in terms of UL coverage and UL latency</w:t>
      </w:r>
      <w:r w:rsidR="00F275F4">
        <w:rPr>
          <w:lang w:val="en-US"/>
        </w:rPr>
        <w:t>,</w:t>
      </w:r>
      <w:r w:rsidR="00F275F4" w:rsidRPr="005576E1">
        <w:rPr>
          <w:lang w:val="en-US"/>
        </w:rPr>
        <w:t xml:space="preserve"> especially in wide</w:t>
      </w:r>
      <w:r w:rsidR="00F275F4">
        <w:rPr>
          <w:lang w:val="en-US"/>
        </w:rPr>
        <w:t>-</w:t>
      </w:r>
      <w:r w:rsidR="00F275F4" w:rsidRPr="005576E1">
        <w:rPr>
          <w:lang w:val="en-US"/>
        </w:rPr>
        <w:t>area macro networks where many UEs are in power-limited conditions in the UL direction</w:t>
      </w:r>
      <w:r w:rsidR="00F275F4">
        <w:rPr>
          <w:lang w:val="en-US"/>
        </w:rPr>
        <w:t xml:space="preserve">. </w:t>
      </w:r>
      <w:r w:rsidR="00F275F4">
        <w:t xml:space="preserve">The work item description has been updated in RAN#104 meeting and the objectives are mentioned </w:t>
      </w:r>
      <w:proofErr w:type="gramStart"/>
      <w:r w:rsidR="00F275F4">
        <w:t>in  RP</w:t>
      </w:r>
      <w:proofErr w:type="gramEnd"/>
      <w:r w:rsidR="00F275F4">
        <w:t xml:space="preserve">-241614.   </w:t>
      </w:r>
    </w:p>
    <w:p w14:paraId="6BD88ED3" w14:textId="16E14847" w:rsidR="00890A28" w:rsidRDefault="002B74DB" w:rsidP="00890A28">
      <w:pPr>
        <w:jc w:val="both"/>
      </w:pPr>
      <w:r>
        <w:t xml:space="preserve">RAN2 start discussing on SBFD random access procedures </w:t>
      </w:r>
      <w:r w:rsidR="00923B2E">
        <w:t xml:space="preserve">and </w:t>
      </w:r>
      <w:r w:rsidR="006719BA">
        <w:t>in RAN2#127</w:t>
      </w:r>
      <w:r w:rsidR="00923B2E">
        <w:t>bis</w:t>
      </w:r>
      <w:r w:rsidR="006719BA">
        <w:t xml:space="preserve">, and the following </w:t>
      </w:r>
      <w:proofErr w:type="spellStart"/>
      <w:r w:rsidR="006719BA">
        <w:t>agreemenst</w:t>
      </w:r>
      <w:proofErr w:type="spellEnd"/>
      <w:r w:rsidR="006719BA">
        <w:t xml:space="preserve"> are made:</w:t>
      </w:r>
    </w:p>
    <w:tbl>
      <w:tblPr>
        <w:tblStyle w:val="TableGrid"/>
        <w:tblW w:w="0" w:type="auto"/>
        <w:tblLook w:val="04A0" w:firstRow="1" w:lastRow="0" w:firstColumn="1" w:lastColumn="0" w:noHBand="0" w:noVBand="1"/>
      </w:tblPr>
      <w:tblGrid>
        <w:gridCol w:w="9631"/>
      </w:tblGrid>
      <w:tr w:rsidR="00890A28" w:rsidRPr="00CD033B" w14:paraId="1C4C33CF" w14:textId="77777777" w:rsidTr="003065EF">
        <w:tc>
          <w:tcPr>
            <w:tcW w:w="9631" w:type="dxa"/>
          </w:tcPr>
          <w:p w14:paraId="7C5DE69C" w14:textId="477228E5" w:rsidR="00F05FEE" w:rsidRPr="008B683E" w:rsidRDefault="00890A28" w:rsidP="008B683E">
            <w:pPr>
              <w:rPr>
                <w:rFonts w:ascii="Times New Roman" w:hAnsi="Times New Roman"/>
                <w:b/>
                <w:bCs/>
              </w:rPr>
            </w:pPr>
            <w:r w:rsidRPr="00F876CC">
              <w:rPr>
                <w:rFonts w:ascii="Times New Roman" w:hAnsi="Times New Roman"/>
                <w:b/>
                <w:bCs/>
                <w:highlight w:val="green"/>
              </w:rPr>
              <w:t>Agreement</w:t>
            </w:r>
            <w:r w:rsidR="00A13B25" w:rsidRPr="00F876CC">
              <w:rPr>
                <w:rFonts w:ascii="Times New Roman" w:hAnsi="Times New Roman"/>
                <w:b/>
                <w:bCs/>
                <w:highlight w:val="green"/>
              </w:rPr>
              <w:t>s</w:t>
            </w:r>
          </w:p>
          <w:p w14:paraId="47C13A77" w14:textId="77777777" w:rsidR="00923B2E" w:rsidRPr="00923B2E" w:rsidRDefault="00923B2E" w:rsidP="00923B2E">
            <w:pPr>
              <w:pStyle w:val="Agreement"/>
              <w:rPr>
                <w:rFonts w:ascii="Times New Roman" w:hAnsi="Times New Roman"/>
                <w:lang w:eastAsia="zh-CN"/>
              </w:rPr>
            </w:pPr>
            <w:r w:rsidRPr="00923B2E">
              <w:rPr>
                <w:rFonts w:ascii="Times New Roman" w:hAnsi="Times New Roman"/>
                <w:lang w:eastAsia="zh-CN"/>
              </w:rPr>
              <w:t>RAN2 understand that if additional RO is selected by SBFD-aware UE, early identification via Msg1 is possible from NW point of view for this UE without specification impact. </w:t>
            </w:r>
          </w:p>
          <w:p w14:paraId="5AECCD82" w14:textId="77777777" w:rsidR="00923B2E" w:rsidRPr="00923B2E" w:rsidRDefault="00923B2E" w:rsidP="00923B2E">
            <w:pPr>
              <w:pStyle w:val="Agreement"/>
              <w:rPr>
                <w:rFonts w:ascii="Times New Roman" w:hAnsi="Times New Roman"/>
                <w:lang w:eastAsia="zh-CN"/>
              </w:rPr>
            </w:pPr>
            <w:r w:rsidRPr="00923B2E">
              <w:rPr>
                <w:rFonts w:ascii="Times New Roman" w:hAnsi="Times New Roman"/>
                <w:lang w:eastAsia="zh-CN"/>
              </w:rPr>
              <w:t>From R2 point of view, there is no need to introduce SBFD as a new feature combination in the current PRACH preamble partitioning framework.  </w:t>
            </w:r>
          </w:p>
          <w:p w14:paraId="4994CBBE" w14:textId="77777777" w:rsidR="00923B2E" w:rsidRPr="00923B2E" w:rsidRDefault="00923B2E" w:rsidP="00923B2E">
            <w:pPr>
              <w:pStyle w:val="Agreement"/>
              <w:rPr>
                <w:rFonts w:ascii="Times New Roman" w:hAnsi="Times New Roman"/>
                <w:lang w:eastAsia="zh-CN"/>
              </w:rPr>
            </w:pPr>
            <w:r w:rsidRPr="00923B2E">
              <w:rPr>
                <w:rFonts w:ascii="Times New Roman" w:hAnsi="Times New Roman"/>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 </w:t>
            </w:r>
          </w:p>
          <w:p w14:paraId="6C5917DB" w14:textId="77777777" w:rsidR="00923B2E" w:rsidRPr="00923B2E" w:rsidRDefault="00923B2E" w:rsidP="00923B2E">
            <w:pPr>
              <w:pStyle w:val="Agreement"/>
              <w:rPr>
                <w:rFonts w:ascii="Times New Roman" w:hAnsi="Times New Roman"/>
                <w:lang w:eastAsia="zh-CN"/>
              </w:rPr>
            </w:pPr>
            <w:r w:rsidRPr="00923B2E">
              <w:rPr>
                <w:rFonts w:ascii="Times New Roman" w:hAnsi="Times New Roman"/>
                <w:lang w:eastAsia="zh-CN"/>
              </w:rPr>
              <w:t>For the PRACH transmission re-attempt in one RACH procedure, after certain (configured) number of times of RACH attempt in SBFD RACH occasions, UE is allowed to switch to legacy RACH occasions. FFS about the case when UE select legacy ROs first.  </w:t>
            </w:r>
          </w:p>
          <w:p w14:paraId="4CD180EF" w14:textId="0456ED91" w:rsidR="00F876CC" w:rsidRPr="00F876CC" w:rsidRDefault="00F876CC" w:rsidP="00923B2E">
            <w:pPr>
              <w:pStyle w:val="Agreement"/>
              <w:numPr>
                <w:ilvl w:val="0"/>
                <w:numId w:val="0"/>
              </w:numPr>
              <w:ind w:left="360"/>
            </w:pPr>
          </w:p>
        </w:tc>
      </w:tr>
    </w:tbl>
    <w:p w14:paraId="489320FA" w14:textId="77777777" w:rsidR="006719BA" w:rsidRDefault="006719BA" w:rsidP="00E90DCE">
      <w:pPr>
        <w:jc w:val="both"/>
      </w:pPr>
    </w:p>
    <w:p w14:paraId="0EECF73D" w14:textId="1F49ABC0" w:rsidR="00500DFC" w:rsidRDefault="00500DFC" w:rsidP="00E90DCE">
      <w:pPr>
        <w:jc w:val="both"/>
      </w:pPr>
      <w:r>
        <w:t>In this contribution, we further discuss different aspects of the SBFD random access ope</w:t>
      </w:r>
      <w:r w:rsidR="00C222A8">
        <w:t>ration.</w:t>
      </w:r>
    </w:p>
    <w:p w14:paraId="5E9CBE0F" w14:textId="0FE8DF5F" w:rsidR="001D45A0" w:rsidRDefault="00E309D7" w:rsidP="00227B19">
      <w:pPr>
        <w:pStyle w:val="Heading1"/>
      </w:pPr>
      <w:r w:rsidRPr="00E309D7">
        <w:t xml:space="preserve">SBFD </w:t>
      </w:r>
      <w:r w:rsidR="00227B19">
        <w:t>R</w:t>
      </w:r>
      <w:r w:rsidRPr="00E309D7">
        <w:t xml:space="preserve">andom </w:t>
      </w:r>
      <w:r w:rsidR="00227B19">
        <w:t>A</w:t>
      </w:r>
      <w:r w:rsidRPr="00E309D7">
        <w:t xml:space="preserve">ccess </w:t>
      </w:r>
      <w:r w:rsidR="00227B19">
        <w:t>O</w:t>
      </w:r>
      <w:r w:rsidRPr="00E309D7">
        <w:t>peration</w:t>
      </w:r>
    </w:p>
    <w:p w14:paraId="2073B54B" w14:textId="3911629C" w:rsidR="008C3FD4" w:rsidRDefault="008C3FD4" w:rsidP="009A5DD5">
      <w:pPr>
        <w:jc w:val="both"/>
      </w:pPr>
      <w:r>
        <w:t>For initial access, the UE selects the index of the preferred SSB index and decodes the associated PBCH for MIB, and obtains relevant information for decoding the SIB1, from where it obtains the RACH configuration for sending Msg1. The RACH configuration contains, among others, the PRACH configuration index, the frequency domain multiplexing of the RACH occasions (ROs), the frequency offset of the ROs</w:t>
      </w:r>
      <w:r w:rsidR="001D5576">
        <w:t>,</w:t>
      </w:r>
      <w:r>
        <w:t xml:space="preserve"> and information about the power ramp up during the RACH procedure. For UEs in RRC_CONNECTED, dedicated RACH configuration, including CFRA, can be indicated by the network. If the CFRA configuration is missing, UEs in RRC_CONNECTED use the common RACH configuration for CBRA.</w:t>
      </w:r>
    </w:p>
    <w:p w14:paraId="11FEC8A7" w14:textId="1F6D242C" w:rsidR="008C3FD4" w:rsidRPr="009A5DD5" w:rsidRDefault="008C3FD4" w:rsidP="009A5DD5">
      <w:pPr>
        <w:jc w:val="both"/>
      </w:pPr>
      <w:r>
        <w:t xml:space="preserve">To enable support of initial access in SBFD, i.e., in </w:t>
      </w:r>
      <w:r w:rsidR="001D5576">
        <w:t xml:space="preserve">the </w:t>
      </w:r>
      <w:r>
        <w:t xml:space="preserve">UL </w:t>
      </w:r>
      <w:proofErr w:type="spellStart"/>
      <w:r>
        <w:t>subband</w:t>
      </w:r>
      <w:proofErr w:type="spellEnd"/>
      <w:r>
        <w:t xml:space="preserve">, RAN1 has been discussing the above aspects of </w:t>
      </w:r>
      <w:proofErr w:type="gramStart"/>
      <w:r>
        <w:t>random access</w:t>
      </w:r>
      <w:proofErr w:type="gramEnd"/>
      <w:r>
        <w:t xml:space="preserve"> procedures in SBFD since RAN1#116. In fact, RAN1 observed that support of initial access in SBFD provides at least one or more following benefits: </w:t>
      </w:r>
      <w:r w:rsidRPr="009A5DD5">
        <w:t xml:space="preserve">reduced random access latency, reduced PRACH collision probability or allowing more contiguous frequency resources for PUSCH in UL slots, improved coverage of PRACH with sparse UL resources, and increased cell range of PRACH with sparse UL resources. As mentioned in section 1, WI was updated in </w:t>
      </w:r>
      <w:r w:rsidRPr="009A5DD5">
        <w:lastRenderedPageBreak/>
        <w:t>RAN#104</w:t>
      </w:r>
      <w:r>
        <w:t xml:space="preserve"> [RP-241614]</w:t>
      </w:r>
      <w:r w:rsidRPr="009A5DD5">
        <w:t xml:space="preserve"> to specify SBFD operation to support random access in SBFD symbols by UEs in RRC_IDLE/INACTIVE mode, along with RRC_CONNECTED mode in RAN1 and RAN2.</w:t>
      </w:r>
    </w:p>
    <w:p w14:paraId="6E9523F5" w14:textId="63D2826F" w:rsidR="008C3FD4" w:rsidRPr="009A5DD5" w:rsidRDefault="008C3FD4" w:rsidP="009A5DD5">
      <w:pPr>
        <w:jc w:val="both"/>
      </w:pPr>
      <w:r w:rsidRPr="009A5DD5">
        <w:t>In section 3, we present the various aspects of random access in RRC Connected mode, and in RRC Idle/Inactive mode, and the conclusion is provided in section 4.</w:t>
      </w:r>
    </w:p>
    <w:p w14:paraId="0C73AE82" w14:textId="7B985A8F" w:rsidR="008D1867" w:rsidRPr="006E13D1" w:rsidRDefault="00227B19" w:rsidP="00227B19">
      <w:pPr>
        <w:pStyle w:val="Heading1"/>
      </w:pPr>
      <w:r>
        <w:t xml:space="preserve">Various Aspects of SBFD random access </w:t>
      </w:r>
    </w:p>
    <w:p w14:paraId="0357D269" w14:textId="5E0FF9E6" w:rsidR="00614170" w:rsidRDefault="00697750" w:rsidP="001B667E">
      <w:pPr>
        <w:jc w:val="both"/>
        <w:rPr>
          <w:b/>
        </w:rPr>
      </w:pPr>
      <w:r w:rsidRPr="00227B19">
        <w:rPr>
          <w:bCs/>
        </w:rPr>
        <w:t>In this section, we discuss the RAN2 aspects of the SBFD random access procedure for RRC_CONNECTED and IDLE/INACTIVE operation</w:t>
      </w:r>
      <w:r w:rsidR="000364E6">
        <w:rPr>
          <w:bCs/>
        </w:rPr>
        <w:t>s</w:t>
      </w:r>
      <w:r w:rsidRPr="00227B19">
        <w:rPr>
          <w:bCs/>
        </w:rPr>
        <w:t xml:space="preserve">.  </w:t>
      </w:r>
      <w:r w:rsidR="005B0624" w:rsidRPr="00227B19">
        <w:rPr>
          <w:bCs/>
        </w:rPr>
        <w:t xml:space="preserve">RAN1 agreements on </w:t>
      </w:r>
      <w:r w:rsidR="004A2262" w:rsidRPr="00227B19">
        <w:rPr>
          <w:bCs/>
        </w:rPr>
        <w:t>SBFD random access is listed in Appendix 1.</w:t>
      </w:r>
    </w:p>
    <w:p w14:paraId="12E24DDA" w14:textId="79373BBD" w:rsidR="004B1C6C" w:rsidRDefault="00697750" w:rsidP="00227B19">
      <w:pPr>
        <w:pStyle w:val="Heading2"/>
      </w:pPr>
      <w:r w:rsidRPr="00227B19">
        <w:t xml:space="preserve">PRACH resource configuration </w:t>
      </w:r>
      <w:r>
        <w:t>for RRC_CONNECTED UEs</w:t>
      </w:r>
    </w:p>
    <w:p w14:paraId="191DF800" w14:textId="416B1EAA" w:rsidR="007F3B7F" w:rsidRDefault="007F3B7F" w:rsidP="007F3B7F">
      <w:pPr>
        <w:jc w:val="both"/>
      </w:pPr>
      <w:r>
        <w:t xml:space="preserve">To enable random access for SBFD symbols in SBFD-aware UEs, the </w:t>
      </w:r>
      <w:proofErr w:type="spellStart"/>
      <w:r>
        <w:t>gNB</w:t>
      </w:r>
      <w:proofErr w:type="spellEnd"/>
      <w:r>
        <w:t xml:space="preserve"> must set up a new set of PRACH resources</w:t>
      </w:r>
      <w:r w:rsidR="004E3A5B">
        <w:t xml:space="preserve"> which </w:t>
      </w:r>
      <w:r>
        <w:t>includ</w:t>
      </w:r>
      <w:r w:rsidR="004E3A5B">
        <w:t>es</w:t>
      </w:r>
      <w:r>
        <w:t xml:space="preserve"> RO configuration, SSB-RO mapping, the </w:t>
      </w:r>
      <w:proofErr w:type="gramStart"/>
      <w:r>
        <w:t>random access</w:t>
      </w:r>
      <w:proofErr w:type="gramEnd"/>
      <w:r>
        <w:t xml:space="preserve"> configuration table, and PRACH repetition. </w:t>
      </w:r>
    </w:p>
    <w:p w14:paraId="1736DBD6" w14:textId="732FEFB0" w:rsidR="00C763D4" w:rsidRDefault="003264EE" w:rsidP="001B667E">
      <w:pPr>
        <w:jc w:val="both"/>
      </w:pPr>
      <w:r>
        <w:t>In RAN1</w:t>
      </w:r>
      <w:r w:rsidR="00C763D4">
        <w:t>#11</w:t>
      </w:r>
      <w:r w:rsidR="00A930D8">
        <w:t>8b</w:t>
      </w:r>
      <w:r w:rsidR="00D76239">
        <w:t>is</w:t>
      </w:r>
      <w:r w:rsidR="00C763D4">
        <w:t xml:space="preserve">, </w:t>
      </w:r>
      <w:r w:rsidR="001D5576">
        <w:t xml:space="preserve">the </w:t>
      </w:r>
      <w:r w:rsidR="00C763D4">
        <w:t>following agreements are made on the PRACH resource configuration:</w:t>
      </w:r>
    </w:p>
    <w:tbl>
      <w:tblPr>
        <w:tblStyle w:val="TableGrid"/>
        <w:tblW w:w="0" w:type="auto"/>
        <w:tblLook w:val="04A0" w:firstRow="1" w:lastRow="0" w:firstColumn="1" w:lastColumn="0" w:noHBand="0" w:noVBand="1"/>
      </w:tblPr>
      <w:tblGrid>
        <w:gridCol w:w="9631"/>
      </w:tblGrid>
      <w:tr w:rsidR="00CD033B" w:rsidRPr="00CD033B" w14:paraId="6CEC5685" w14:textId="77777777" w:rsidTr="00CD033B">
        <w:tc>
          <w:tcPr>
            <w:tcW w:w="9631" w:type="dxa"/>
          </w:tcPr>
          <w:p w14:paraId="3185F951" w14:textId="77777777" w:rsidR="00CD033B" w:rsidRPr="00D157A7" w:rsidRDefault="00CD033B" w:rsidP="00CD033B">
            <w:pPr>
              <w:rPr>
                <w:rFonts w:ascii="Times New Roman" w:hAnsi="Times New Roman"/>
                <w:b/>
                <w:bCs/>
              </w:rPr>
            </w:pPr>
            <w:r w:rsidRPr="00D157A7">
              <w:rPr>
                <w:rFonts w:ascii="Times New Roman" w:hAnsi="Times New Roman"/>
                <w:b/>
                <w:bCs/>
                <w:highlight w:val="green"/>
              </w:rPr>
              <w:t>Agreement</w:t>
            </w:r>
          </w:p>
          <w:p w14:paraId="4B2D3C0D" w14:textId="77777777" w:rsidR="00D76239" w:rsidRPr="00C04892" w:rsidRDefault="00D76239" w:rsidP="00C04892">
            <w:pPr>
              <w:pStyle w:val="paragraph"/>
              <w:spacing w:before="0" w:beforeAutospacing="0" w:after="0" w:afterAutospacing="0"/>
              <w:textAlignment w:val="baseline"/>
              <w:rPr>
                <w:rFonts w:ascii="Segoe UI" w:hAnsi="Segoe UI" w:cs="Segoe UI"/>
                <w:color w:val="000000" w:themeColor="text1"/>
                <w:sz w:val="18"/>
                <w:szCs w:val="18"/>
              </w:rPr>
            </w:pPr>
            <w:r w:rsidRPr="00C04892">
              <w:rPr>
                <w:rStyle w:val="normaltextrun"/>
                <w:rFonts w:ascii="Times" w:hAnsi="Times" w:cs="Times"/>
                <w:color w:val="000000" w:themeColor="text1"/>
                <w:sz w:val="18"/>
                <w:szCs w:val="18"/>
                <w:u w:val="single"/>
                <w:lang w:val="en-GB"/>
              </w:rPr>
              <w:t>For RACH configuration Option 1 with Alt 1-1, for determination of lowest RO of additional-ROs in SBFD symbols, select one from the following alternatives. </w:t>
            </w:r>
            <w:r w:rsidRPr="00C04892">
              <w:rPr>
                <w:rStyle w:val="eop"/>
                <w:rFonts w:ascii="Times" w:hAnsi="Times" w:cs="Times"/>
                <w:color w:val="000000" w:themeColor="text1"/>
                <w:sz w:val="18"/>
                <w:szCs w:val="18"/>
              </w:rPr>
              <w:t> </w:t>
            </w:r>
          </w:p>
          <w:p w14:paraId="2165AAFF" w14:textId="77777777" w:rsidR="00D76239" w:rsidRPr="00C04892" w:rsidRDefault="00D76239" w:rsidP="00C04892">
            <w:pPr>
              <w:pStyle w:val="paragraph"/>
              <w:numPr>
                <w:ilvl w:val="0"/>
                <w:numId w:val="25"/>
              </w:numPr>
              <w:spacing w:before="0" w:beforeAutospacing="0" w:after="0" w:afterAutospacing="0"/>
              <w:ind w:left="900" w:firstLine="0"/>
              <w:textAlignment w:val="baseline"/>
              <w:rPr>
                <w:rFonts w:ascii="Times New Roman" w:hAnsi="Times New Roman"/>
                <w:color w:val="000000" w:themeColor="text1"/>
                <w:sz w:val="18"/>
                <w:szCs w:val="18"/>
              </w:rPr>
            </w:pPr>
            <w:r w:rsidRPr="00C04892">
              <w:rPr>
                <w:rStyle w:val="normaltextrun"/>
                <w:rFonts w:ascii="Times" w:hAnsi="Times" w:cs="Times"/>
                <w:color w:val="000000" w:themeColor="text1"/>
                <w:sz w:val="18"/>
                <w:szCs w:val="18"/>
                <w:u w:val="single"/>
              </w:rPr>
              <w:t>Alt 1: The</w:t>
            </w:r>
            <w:r w:rsidRPr="00C04892">
              <w:rPr>
                <w:rStyle w:val="normaltextrun"/>
                <w:rFonts w:ascii="Times" w:hAnsi="Times" w:cs="Times"/>
                <w:i/>
                <w:iCs/>
                <w:color w:val="000000" w:themeColor="text1"/>
                <w:sz w:val="18"/>
                <w:szCs w:val="18"/>
                <w:u w:val="single"/>
              </w:rPr>
              <w:t xml:space="preserve"> </w:t>
            </w:r>
            <w:r w:rsidRPr="00C04892">
              <w:rPr>
                <w:rStyle w:val="normaltextrun"/>
                <w:rFonts w:ascii="Times" w:hAnsi="Times" w:cs="Times"/>
                <w:color w:val="000000" w:themeColor="text1"/>
                <w:sz w:val="18"/>
                <w:szCs w:val="18"/>
                <w:u w:val="single"/>
              </w:rPr>
              <w:t>parameter</w:t>
            </w:r>
            <w:r w:rsidRPr="00C04892">
              <w:rPr>
                <w:rStyle w:val="normaltextrun"/>
                <w:rFonts w:ascii="Times" w:hAnsi="Times" w:cs="Times"/>
                <w:i/>
                <w:iCs/>
                <w:color w:val="000000" w:themeColor="text1"/>
                <w:sz w:val="18"/>
                <w:szCs w:val="18"/>
                <w:u w:val="single"/>
              </w:rPr>
              <w:t xml:space="preserve"> msg1-FrequencyStart </w:t>
            </w:r>
            <w:r w:rsidRPr="00C04892">
              <w:rPr>
                <w:rStyle w:val="normaltextrun"/>
                <w:rFonts w:ascii="Times" w:hAnsi="Times" w:cs="Times"/>
                <w:color w:val="000000" w:themeColor="text1"/>
                <w:sz w:val="18"/>
                <w:szCs w:val="18"/>
                <w:u w:val="single"/>
              </w:rPr>
              <w:t xml:space="preserve">in </w:t>
            </w:r>
            <w:proofErr w:type="spellStart"/>
            <w:r w:rsidRPr="00C04892">
              <w:rPr>
                <w:rStyle w:val="normaltextrun"/>
                <w:rFonts w:ascii="Times" w:hAnsi="Times" w:cs="Times"/>
                <w:i/>
                <w:iCs/>
                <w:color w:val="000000" w:themeColor="text1"/>
                <w:sz w:val="18"/>
                <w:szCs w:val="18"/>
                <w:u w:val="single"/>
              </w:rPr>
              <w:t>rach-ConfigCommon</w:t>
            </w:r>
            <w:proofErr w:type="spellEnd"/>
            <w:r w:rsidRPr="00C04892">
              <w:rPr>
                <w:rStyle w:val="normaltextrun"/>
                <w:rFonts w:ascii="Times" w:hAnsi="Times" w:cs="Times"/>
                <w:color w:val="000000" w:themeColor="text1"/>
                <w:sz w:val="18"/>
                <w:szCs w:val="18"/>
                <w:u w:val="single"/>
              </w:rPr>
              <w:t xml:space="preserve"> is applied with no reinterpretation.</w:t>
            </w:r>
            <w:r w:rsidRPr="00C04892">
              <w:rPr>
                <w:rStyle w:val="eop"/>
                <w:rFonts w:ascii="Times" w:hAnsi="Times" w:cs="Times"/>
                <w:color w:val="000000" w:themeColor="text1"/>
                <w:sz w:val="18"/>
                <w:szCs w:val="18"/>
              </w:rPr>
              <w:t> </w:t>
            </w:r>
          </w:p>
          <w:p w14:paraId="545DBE2B" w14:textId="77777777" w:rsidR="00D76239" w:rsidRPr="00C04892" w:rsidRDefault="00D76239" w:rsidP="00C04892">
            <w:pPr>
              <w:pStyle w:val="paragraph"/>
              <w:numPr>
                <w:ilvl w:val="0"/>
                <w:numId w:val="26"/>
              </w:numPr>
              <w:spacing w:before="0" w:beforeAutospacing="0" w:after="0" w:afterAutospacing="0"/>
              <w:ind w:left="900" w:firstLine="0"/>
              <w:textAlignment w:val="baseline"/>
              <w:rPr>
                <w:color w:val="000000" w:themeColor="text1"/>
                <w:sz w:val="18"/>
                <w:szCs w:val="18"/>
              </w:rPr>
            </w:pPr>
            <w:r w:rsidRPr="00C04892">
              <w:rPr>
                <w:rStyle w:val="normaltextrun"/>
                <w:rFonts w:ascii="Times" w:hAnsi="Times" w:cs="Times"/>
                <w:color w:val="000000" w:themeColor="text1"/>
                <w:sz w:val="18"/>
                <w:szCs w:val="18"/>
                <w:u w:val="single"/>
              </w:rPr>
              <w:t>Alt 2-1: The</w:t>
            </w:r>
            <w:r w:rsidRPr="00C04892">
              <w:rPr>
                <w:rStyle w:val="normaltextrun"/>
                <w:rFonts w:ascii="Times" w:hAnsi="Times" w:cs="Times"/>
                <w:i/>
                <w:iCs/>
                <w:color w:val="000000" w:themeColor="text1"/>
                <w:sz w:val="18"/>
                <w:szCs w:val="18"/>
                <w:u w:val="single"/>
              </w:rPr>
              <w:t xml:space="preserve"> </w:t>
            </w:r>
            <w:r w:rsidRPr="00C04892">
              <w:rPr>
                <w:rStyle w:val="normaltextrun"/>
                <w:rFonts w:ascii="Times" w:hAnsi="Times" w:cs="Times"/>
                <w:color w:val="000000" w:themeColor="text1"/>
                <w:sz w:val="18"/>
                <w:szCs w:val="18"/>
                <w:u w:val="single"/>
              </w:rPr>
              <w:t>parameter</w:t>
            </w:r>
            <w:r w:rsidRPr="00C04892">
              <w:rPr>
                <w:rStyle w:val="normaltextrun"/>
                <w:rFonts w:ascii="Times" w:hAnsi="Times" w:cs="Times"/>
                <w:i/>
                <w:iCs/>
                <w:color w:val="000000" w:themeColor="text1"/>
                <w:sz w:val="18"/>
                <w:szCs w:val="18"/>
                <w:u w:val="single"/>
              </w:rPr>
              <w:t xml:space="preserve"> msg1-FrequencyStart </w:t>
            </w:r>
            <w:r w:rsidRPr="00C04892">
              <w:rPr>
                <w:rStyle w:val="normaltextrun"/>
                <w:rFonts w:ascii="Times" w:hAnsi="Times" w:cs="Times"/>
                <w:color w:val="000000" w:themeColor="text1"/>
                <w:sz w:val="18"/>
                <w:szCs w:val="18"/>
                <w:u w:val="single"/>
              </w:rPr>
              <w:t xml:space="preserve">in </w:t>
            </w:r>
            <w:proofErr w:type="spellStart"/>
            <w:r w:rsidRPr="00C04892">
              <w:rPr>
                <w:rStyle w:val="normaltextrun"/>
                <w:rFonts w:ascii="Times" w:hAnsi="Times" w:cs="Times"/>
                <w:i/>
                <w:iCs/>
                <w:color w:val="000000" w:themeColor="text1"/>
                <w:sz w:val="18"/>
                <w:szCs w:val="18"/>
                <w:u w:val="single"/>
              </w:rPr>
              <w:t>rach-ConfigCommon</w:t>
            </w:r>
            <w:proofErr w:type="spellEnd"/>
            <w:r w:rsidRPr="00C04892">
              <w:rPr>
                <w:rStyle w:val="normaltextrun"/>
                <w:rFonts w:ascii="Times" w:hAnsi="Times" w:cs="Times"/>
                <w:color w:val="000000" w:themeColor="text1"/>
                <w:sz w:val="18"/>
                <w:szCs w:val="18"/>
                <w:u w:val="single"/>
              </w:rPr>
              <w:t xml:space="preserve"> is reinterpreted as the frequency offset of lowest RO in frequency domain with respective to the lowest PRB of UL usable PRBs.</w:t>
            </w:r>
            <w:r w:rsidRPr="00C04892">
              <w:rPr>
                <w:rStyle w:val="eop"/>
                <w:rFonts w:ascii="Times" w:hAnsi="Times" w:cs="Times"/>
                <w:color w:val="000000" w:themeColor="text1"/>
                <w:sz w:val="18"/>
                <w:szCs w:val="18"/>
              </w:rPr>
              <w:t> </w:t>
            </w:r>
          </w:p>
          <w:p w14:paraId="2B55670B" w14:textId="77777777" w:rsidR="00D76239" w:rsidRPr="00C04892" w:rsidRDefault="00D76239" w:rsidP="00C04892">
            <w:pPr>
              <w:pStyle w:val="paragraph"/>
              <w:numPr>
                <w:ilvl w:val="0"/>
                <w:numId w:val="27"/>
              </w:numPr>
              <w:spacing w:before="0" w:beforeAutospacing="0" w:after="0" w:afterAutospacing="0"/>
              <w:ind w:left="900" w:firstLine="0"/>
              <w:textAlignment w:val="baseline"/>
              <w:rPr>
                <w:color w:val="000000" w:themeColor="text1"/>
                <w:sz w:val="18"/>
                <w:szCs w:val="18"/>
              </w:rPr>
            </w:pPr>
            <w:r w:rsidRPr="00C04892">
              <w:rPr>
                <w:rStyle w:val="normaltextrun"/>
                <w:rFonts w:ascii="Times" w:hAnsi="Times" w:cs="Times"/>
                <w:color w:val="000000" w:themeColor="text1"/>
                <w:sz w:val="18"/>
                <w:szCs w:val="18"/>
                <w:u w:val="single"/>
              </w:rPr>
              <w:t xml:space="preserve">Alt 2-3: The frequency offset of lowest RO in frequency domain with respective to the lowest PRB of UL usable PRBs is equal to </w:t>
            </w:r>
            <w:r w:rsidRPr="00C04892">
              <w:rPr>
                <w:rStyle w:val="normaltextrun"/>
                <w:rFonts w:ascii="Times" w:hAnsi="Times" w:cs="Times"/>
                <w:i/>
                <w:iCs/>
                <w:color w:val="000000" w:themeColor="text1"/>
                <w:sz w:val="18"/>
                <w:szCs w:val="18"/>
                <w:u w:val="single"/>
              </w:rPr>
              <w:t>mod</w:t>
            </w:r>
            <w:r w:rsidRPr="00C04892">
              <w:rPr>
                <w:rStyle w:val="normaltextrun"/>
                <w:rFonts w:ascii="Times" w:hAnsi="Times" w:cs="Times"/>
                <w:color w:val="000000" w:themeColor="text1"/>
                <w:sz w:val="18"/>
                <w:szCs w:val="18"/>
                <w:u w:val="single"/>
              </w:rPr>
              <w:t xml:space="preserve"> (</w:t>
            </w:r>
            <w:r w:rsidRPr="00C04892">
              <w:rPr>
                <w:rStyle w:val="normaltextrun"/>
                <w:rFonts w:ascii="Times" w:hAnsi="Times" w:cs="Times"/>
                <w:i/>
                <w:iCs/>
                <w:color w:val="000000" w:themeColor="text1"/>
                <w:sz w:val="18"/>
                <w:szCs w:val="18"/>
                <w:u w:val="single"/>
              </w:rPr>
              <w:t>msg1-FrequencyStart</w:t>
            </w:r>
            <w:r w:rsidRPr="00C04892">
              <w:rPr>
                <w:rStyle w:val="normaltextrun"/>
                <w:rFonts w:ascii="Times" w:hAnsi="Times" w:cs="Times"/>
                <w:color w:val="000000" w:themeColor="text1"/>
                <w:sz w:val="18"/>
                <w:szCs w:val="18"/>
                <w:u w:val="single"/>
              </w:rPr>
              <w:t>, bandwidth of UL usable PRBs).</w:t>
            </w:r>
            <w:r w:rsidRPr="00C04892">
              <w:rPr>
                <w:rStyle w:val="eop"/>
                <w:rFonts w:ascii="Times" w:hAnsi="Times" w:cs="Times"/>
                <w:color w:val="000000" w:themeColor="text1"/>
                <w:sz w:val="18"/>
                <w:szCs w:val="18"/>
              </w:rPr>
              <w:t> </w:t>
            </w:r>
          </w:p>
          <w:p w14:paraId="065EC84C" w14:textId="77777777" w:rsidR="00D76239" w:rsidRPr="00C04892" w:rsidRDefault="00D76239" w:rsidP="00C04892">
            <w:pPr>
              <w:pStyle w:val="paragraph"/>
              <w:numPr>
                <w:ilvl w:val="0"/>
                <w:numId w:val="28"/>
              </w:numPr>
              <w:spacing w:before="0" w:beforeAutospacing="0" w:after="0" w:afterAutospacing="0"/>
              <w:ind w:left="900" w:firstLine="0"/>
              <w:textAlignment w:val="baseline"/>
              <w:rPr>
                <w:color w:val="000000" w:themeColor="text1"/>
                <w:sz w:val="18"/>
                <w:szCs w:val="18"/>
              </w:rPr>
            </w:pPr>
            <w:r w:rsidRPr="00C04892">
              <w:rPr>
                <w:rStyle w:val="normaltextrun"/>
                <w:rFonts w:ascii="Times" w:hAnsi="Times" w:cs="Times"/>
                <w:color w:val="000000" w:themeColor="text1"/>
                <w:sz w:val="18"/>
                <w:szCs w:val="18"/>
                <w:u w:val="single"/>
              </w:rPr>
              <w:t>FFS: Possible modifications</w:t>
            </w:r>
            <w:r w:rsidRPr="00C04892">
              <w:rPr>
                <w:rStyle w:val="eop"/>
                <w:rFonts w:ascii="Times" w:hAnsi="Times" w:cs="Times"/>
                <w:color w:val="000000" w:themeColor="text1"/>
                <w:sz w:val="18"/>
                <w:szCs w:val="18"/>
              </w:rPr>
              <w:t> </w:t>
            </w:r>
          </w:p>
          <w:p w14:paraId="4C54D140" w14:textId="473E4456" w:rsidR="00CD033B" w:rsidRPr="00227B19" w:rsidRDefault="00CD033B" w:rsidP="00CD033B">
            <w:pPr>
              <w:rPr>
                <w:rFonts w:ascii="Times New Roman" w:hAnsi="Times New Roman"/>
              </w:rPr>
            </w:pPr>
          </w:p>
        </w:tc>
      </w:tr>
    </w:tbl>
    <w:p w14:paraId="28BB4803" w14:textId="77777777" w:rsidR="00CD033B" w:rsidRDefault="00CD033B" w:rsidP="00BF4334"/>
    <w:p w14:paraId="638C86C3" w14:textId="523FC330" w:rsidR="001A56D0" w:rsidRDefault="00D76239" w:rsidP="00422C1E">
      <w:pPr>
        <w:jc w:val="both"/>
      </w:pPr>
      <w:r>
        <w:t>I</w:t>
      </w:r>
      <w:r w:rsidR="001A56D0">
        <w:t xml:space="preserve">t </w:t>
      </w:r>
      <w:r w:rsidR="006B7EC8">
        <w:t>seems straightforward to</w:t>
      </w:r>
      <w:r w:rsidR="001A56D0">
        <w:t xml:space="preserve"> </w:t>
      </w:r>
      <w:r w:rsidR="00E75FD3">
        <w:t>re</w:t>
      </w:r>
      <w:r w:rsidR="001A56D0">
        <w:t xml:space="preserve">interpret that </w:t>
      </w:r>
      <w:r w:rsidR="00045C3C">
        <w:t xml:space="preserve">for ROs within SBFD symbols, </w:t>
      </w:r>
      <w:r w:rsidR="00045C3C" w:rsidRPr="00DB5558">
        <w:rPr>
          <w:i/>
          <w:iCs/>
        </w:rPr>
        <w:t>msg1-FrequencyStart</w:t>
      </w:r>
      <w:r w:rsidR="00045C3C">
        <w:t xml:space="preserve"> indicates the offset of the </w:t>
      </w:r>
      <w:r w:rsidR="00422C1E">
        <w:t xml:space="preserve">first </w:t>
      </w:r>
      <w:r w:rsidR="00045C3C">
        <w:t xml:space="preserve">RO </w:t>
      </w:r>
      <w:r w:rsidR="00422C1E">
        <w:t xml:space="preserve">with respect to the </w:t>
      </w:r>
      <w:r w:rsidR="00045C3C">
        <w:t xml:space="preserve">start of the UL </w:t>
      </w:r>
      <w:proofErr w:type="spellStart"/>
      <w:r w:rsidR="00045C3C">
        <w:t>subband</w:t>
      </w:r>
      <w:proofErr w:type="spellEnd"/>
      <w:r w:rsidR="00592B8A">
        <w:t xml:space="preserve">, and </w:t>
      </w:r>
      <w:proofErr w:type="spellStart"/>
      <w:r w:rsidR="00592B8A">
        <w:t>FDMed</w:t>
      </w:r>
      <w:proofErr w:type="spellEnd"/>
      <w:r w:rsidR="00592B8A">
        <w:t xml:space="preserve"> ROs </w:t>
      </w:r>
      <w:r w:rsidR="0085716E">
        <w:t xml:space="preserve">which fall outside </w:t>
      </w:r>
      <w:r w:rsidR="005272F9">
        <w:t xml:space="preserve">the UL </w:t>
      </w:r>
      <w:proofErr w:type="spellStart"/>
      <w:r w:rsidR="005272F9">
        <w:t>subband</w:t>
      </w:r>
      <w:proofErr w:type="spellEnd"/>
      <w:r w:rsidR="0085716E">
        <w:t xml:space="preserve"> after app</w:t>
      </w:r>
      <w:r w:rsidR="00014561">
        <w:t xml:space="preserve">lying offset </w:t>
      </w:r>
      <w:r w:rsidR="00AF122D">
        <w:t xml:space="preserve">are </w:t>
      </w:r>
      <w:r w:rsidR="005272F9">
        <w:t xml:space="preserve">considered as invalid </w:t>
      </w:r>
      <w:r w:rsidR="00422C1E">
        <w:t>R</w:t>
      </w:r>
      <w:r w:rsidR="00773B1C">
        <w:t>O</w:t>
      </w:r>
      <w:r w:rsidR="00422C1E">
        <w:t xml:space="preserve">s for SBFD UEs. </w:t>
      </w:r>
    </w:p>
    <w:p w14:paraId="6114F867" w14:textId="13CBEFDA" w:rsidR="009E637C" w:rsidRDefault="009E637C" w:rsidP="009E637C">
      <w:pPr>
        <w:jc w:val="both"/>
      </w:pPr>
      <w:r w:rsidRPr="00F14973">
        <w:rPr>
          <w:b/>
        </w:rPr>
        <w:t xml:space="preserve">Proposal </w:t>
      </w:r>
      <w:r w:rsidR="00227B19" w:rsidRPr="00F14973">
        <w:rPr>
          <w:b/>
        </w:rPr>
        <w:t>1</w:t>
      </w:r>
      <w:r w:rsidRPr="00F14973">
        <w:rPr>
          <w:b/>
        </w:rPr>
        <w:t xml:space="preserve">: </w:t>
      </w:r>
      <w:r w:rsidRPr="00F14973">
        <w:t xml:space="preserve">For option </w:t>
      </w:r>
      <w:proofErr w:type="gramStart"/>
      <w:r w:rsidRPr="00F14973">
        <w:t>1,  for</w:t>
      </w:r>
      <w:proofErr w:type="gramEnd"/>
      <w:r w:rsidRPr="00F14973">
        <w:t xml:space="preserve"> ROs within SBFD symbols, </w:t>
      </w:r>
      <w:r w:rsidRPr="00F14973">
        <w:rPr>
          <w:i/>
        </w:rPr>
        <w:t>msg1-FrequencyStart</w:t>
      </w:r>
      <w:r w:rsidRPr="00F14973">
        <w:t xml:space="preserve"> indicates the offset of the first RO with respect to the start of the UL </w:t>
      </w:r>
      <w:proofErr w:type="spellStart"/>
      <w:r w:rsidRPr="00F14973">
        <w:t>subband</w:t>
      </w:r>
      <w:proofErr w:type="spellEnd"/>
      <w:r w:rsidRPr="00F14973">
        <w:t xml:space="preserve">, and </w:t>
      </w:r>
      <w:proofErr w:type="spellStart"/>
      <w:r w:rsidRPr="00F14973">
        <w:t>FDMed</w:t>
      </w:r>
      <w:proofErr w:type="spellEnd"/>
      <w:r w:rsidRPr="00F14973">
        <w:t xml:space="preserve"> ROs </w:t>
      </w:r>
      <w:r w:rsidR="00125321" w:rsidRPr="00F14973">
        <w:t>that</w:t>
      </w:r>
      <w:r w:rsidRPr="00F14973">
        <w:t xml:space="preserve"> fall outside the UL </w:t>
      </w:r>
      <w:proofErr w:type="spellStart"/>
      <w:r w:rsidRPr="00F14973">
        <w:t>subband</w:t>
      </w:r>
      <w:proofErr w:type="spellEnd"/>
      <w:r w:rsidRPr="00F14973">
        <w:t xml:space="preserve"> after applying offset </w:t>
      </w:r>
      <w:r w:rsidR="00AF122D" w:rsidRPr="00F14973">
        <w:t>are</w:t>
      </w:r>
      <w:r w:rsidRPr="00F14973">
        <w:t xml:space="preserve"> considered invalid R</w:t>
      </w:r>
      <w:r w:rsidR="002A74D3" w:rsidRPr="00F14973">
        <w:t>O</w:t>
      </w:r>
      <w:r w:rsidRPr="00F14973">
        <w:t>s for SBFD UEs.</w:t>
      </w:r>
      <w:r>
        <w:t xml:space="preserve"> </w:t>
      </w:r>
    </w:p>
    <w:p w14:paraId="286017C5" w14:textId="147593A3" w:rsidR="009E637C" w:rsidRDefault="008121BB" w:rsidP="00422C1E">
      <w:pPr>
        <w:jc w:val="both"/>
      </w:pPr>
      <w:r w:rsidRPr="00227B19">
        <w:t>O</w:t>
      </w:r>
      <w:r w:rsidR="0009546C" w:rsidRPr="00227B19">
        <w:t xml:space="preserve">n the FFS part of </w:t>
      </w:r>
      <w:r w:rsidR="00B96477" w:rsidRPr="00227B19">
        <w:t>option 2,</w:t>
      </w:r>
      <w:r w:rsidR="002B63BB">
        <w:t xml:space="preserve"> </w:t>
      </w:r>
      <w:r w:rsidR="008F66EB">
        <w:rPr>
          <w:lang w:val="en-US" w:eastAsia="zh-CN"/>
        </w:rPr>
        <w:t xml:space="preserve">since </w:t>
      </w:r>
      <w:r w:rsidR="006D2678">
        <w:rPr>
          <w:lang w:val="en-US" w:eastAsia="zh-CN"/>
        </w:rPr>
        <w:t>O</w:t>
      </w:r>
      <w:r w:rsidR="008F66EB">
        <w:rPr>
          <w:lang w:val="en-US" w:eastAsia="zh-CN"/>
        </w:rPr>
        <w:t xml:space="preserve">ption 2 </w:t>
      </w:r>
      <w:r w:rsidR="004D5A7B">
        <w:t>necessitates support for two RACH configurations</w:t>
      </w:r>
      <w:r w:rsidR="008F66EB" w:rsidRPr="00B76D28">
        <w:rPr>
          <w:lang w:val="en-US" w:eastAsia="zh-CN"/>
        </w:rPr>
        <w:t xml:space="preserve">, </w:t>
      </w:r>
      <w:r w:rsidR="00E4509A">
        <w:t>it introduces some overhead, especially when redundant information is present in these configurations</w:t>
      </w:r>
      <w:r w:rsidR="008F66EB" w:rsidRPr="00B76D28">
        <w:rPr>
          <w:lang w:val="en-US" w:eastAsia="zh-CN"/>
        </w:rPr>
        <w:t>.</w:t>
      </w:r>
      <w:r w:rsidR="008F66EB">
        <w:rPr>
          <w:lang w:val="en-US" w:eastAsia="zh-CN"/>
        </w:rPr>
        <w:t xml:space="preserve"> </w:t>
      </w:r>
      <w:r w:rsidR="00AB7F32">
        <w:rPr>
          <w:lang w:val="en-US"/>
        </w:rPr>
        <w:t xml:space="preserve">Hence to reduce the </w:t>
      </w:r>
      <w:r w:rsidR="000800D1">
        <w:rPr>
          <w:lang w:val="en-US"/>
        </w:rPr>
        <w:t>signaling</w:t>
      </w:r>
      <w:r w:rsidR="00AB7F32">
        <w:rPr>
          <w:lang w:val="en-US"/>
        </w:rPr>
        <w:t xml:space="preserve"> o</w:t>
      </w:r>
      <w:r w:rsidR="000800D1">
        <w:rPr>
          <w:lang w:val="en-US"/>
        </w:rPr>
        <w:t>verhead,</w:t>
      </w:r>
      <w:r w:rsidR="00E4509A">
        <w:rPr>
          <w:lang w:val="en-US"/>
        </w:rPr>
        <w:t xml:space="preserve"> if </w:t>
      </w:r>
      <w:r w:rsidR="002B63BB" w:rsidRPr="00227B19">
        <w:t>the legacy ROs and the additional ROs have the same value for one of the RACH configuration parameters</w:t>
      </w:r>
      <w:r w:rsidR="00B96477" w:rsidRPr="00227B19">
        <w:t xml:space="preserve"> it would not be needed to </w:t>
      </w:r>
      <w:r w:rsidR="006D5589" w:rsidRPr="00227B19">
        <w:t>include those parameter</w:t>
      </w:r>
      <w:r w:rsidR="00125321">
        <w:t>s</w:t>
      </w:r>
      <w:r w:rsidR="006D5589" w:rsidRPr="00227B19">
        <w:t xml:space="preserve"> in the additional </w:t>
      </w:r>
      <w:r w:rsidRPr="00227B19">
        <w:t>RACH configuration</w:t>
      </w:r>
      <w:r w:rsidR="00CC644A">
        <w:t xml:space="preserve">. In such </w:t>
      </w:r>
      <w:r w:rsidR="00125321">
        <w:t xml:space="preserve">a </w:t>
      </w:r>
      <w:r w:rsidR="00CC644A">
        <w:t xml:space="preserve">scenario, inclusion in the legacy RACH configuration would be enough. </w:t>
      </w:r>
    </w:p>
    <w:p w14:paraId="15417DC4" w14:textId="59D8ABE1" w:rsidR="001F562E" w:rsidRPr="001935EA" w:rsidRDefault="001F562E" w:rsidP="00260F66">
      <w:pPr>
        <w:pStyle w:val="paragraph"/>
        <w:spacing w:before="0" w:beforeAutospacing="0" w:after="0" w:afterAutospacing="0"/>
        <w:jc w:val="both"/>
        <w:textAlignment w:val="baseline"/>
        <w:rPr>
          <w:rFonts w:ascii="Segoe UI" w:hAnsi="Segoe UI" w:cs="Segoe UI"/>
          <w:sz w:val="18"/>
          <w:szCs w:val="18"/>
        </w:rPr>
      </w:pPr>
      <w:r w:rsidRPr="001935EA">
        <w:rPr>
          <w:rStyle w:val="normaltextrun"/>
          <w:b/>
          <w:bCs/>
          <w:sz w:val="20"/>
          <w:szCs w:val="20"/>
        </w:rPr>
        <w:t xml:space="preserve">Proposal </w:t>
      </w:r>
      <w:r w:rsidRPr="001935EA">
        <w:rPr>
          <w:rStyle w:val="normaltextrun"/>
          <w:b/>
          <w:bCs/>
          <w:color w:val="000000"/>
          <w:sz w:val="20"/>
          <w:szCs w:val="20"/>
          <w:shd w:val="clear" w:color="auto" w:fill="E1E3E6"/>
        </w:rPr>
        <w:t>2</w:t>
      </w:r>
      <w:r>
        <w:rPr>
          <w:rStyle w:val="normaltextrun"/>
          <w:b/>
          <w:bCs/>
          <w:i/>
          <w:iCs/>
          <w:sz w:val="20"/>
          <w:szCs w:val="20"/>
        </w:rPr>
        <w:t xml:space="preserve"> </w:t>
      </w:r>
      <w:r w:rsidRPr="001935EA">
        <w:rPr>
          <w:rStyle w:val="normaltextrun"/>
          <w:sz w:val="20"/>
          <w:szCs w:val="20"/>
        </w:rPr>
        <w:t>For Option 2, in case the legacy ROs and the additional ROs have the same value for one of the RACH configuration mandatory parameters. Only the legacy RACH configuration will be configured with this parameter.</w:t>
      </w:r>
      <w:r w:rsidRPr="001935EA">
        <w:rPr>
          <w:rStyle w:val="eop"/>
          <w:sz w:val="20"/>
          <w:szCs w:val="20"/>
        </w:rPr>
        <w:t> </w:t>
      </w:r>
      <w:r w:rsidR="00260F66" w:rsidRPr="001935EA">
        <w:rPr>
          <w:rFonts w:ascii="Segoe UI" w:hAnsi="Segoe UI" w:cs="Segoe UI"/>
          <w:sz w:val="18"/>
          <w:szCs w:val="18"/>
        </w:rPr>
        <w:t xml:space="preserve"> </w:t>
      </w:r>
      <w:r w:rsidRPr="001935EA">
        <w:rPr>
          <w:rStyle w:val="normaltextrun"/>
          <w:sz w:val="20"/>
          <w:szCs w:val="20"/>
        </w:rPr>
        <w:t>For Option 2, in case the SBFD aware UEs did not receive a dedicated mandatory parameter in the additional RACH configuration, the SBFD-aware UEs determine this dedicated parameter from the legacy RACH configuration.</w:t>
      </w:r>
      <w:r w:rsidRPr="001935EA">
        <w:rPr>
          <w:rStyle w:val="eop"/>
          <w:sz w:val="20"/>
          <w:szCs w:val="20"/>
        </w:rPr>
        <w:t> </w:t>
      </w:r>
    </w:p>
    <w:p w14:paraId="58117EC5" w14:textId="77777777" w:rsidR="001F562E" w:rsidRPr="00260F66" w:rsidRDefault="001F562E" w:rsidP="00422C1E">
      <w:pPr>
        <w:jc w:val="both"/>
      </w:pPr>
    </w:p>
    <w:p w14:paraId="5E5274EC" w14:textId="717F75BF" w:rsidR="00492CAF" w:rsidRDefault="00492CAF" w:rsidP="00227B19">
      <w:pPr>
        <w:pStyle w:val="Heading2"/>
        <w:rPr>
          <w:lang w:eastAsia="zh-CN"/>
        </w:rPr>
      </w:pPr>
      <w:r>
        <w:rPr>
          <w:lang w:eastAsia="zh-CN"/>
        </w:rPr>
        <w:t>RACH Occasion selection and prioritization</w:t>
      </w:r>
    </w:p>
    <w:p w14:paraId="42528101" w14:textId="77777777" w:rsidR="00D81983" w:rsidRDefault="00D64F6B" w:rsidP="008F6A2E">
      <w:pPr>
        <w:jc w:val="both"/>
        <w:rPr>
          <w:lang w:eastAsia="zh-CN"/>
        </w:rPr>
      </w:pPr>
      <w:r>
        <w:rPr>
          <w:lang w:eastAsia="zh-CN"/>
        </w:rPr>
        <w:t xml:space="preserve">For both </w:t>
      </w:r>
      <w:r w:rsidR="00543661" w:rsidRPr="00364B02">
        <w:t xml:space="preserve">RACH configuration </w:t>
      </w:r>
      <w:r>
        <w:rPr>
          <w:lang w:eastAsia="zh-CN"/>
        </w:rPr>
        <w:t xml:space="preserve">Option 1 and Option 2 </w:t>
      </w:r>
      <w:r w:rsidR="00543661">
        <w:rPr>
          <w:lang w:eastAsia="zh-CN"/>
        </w:rPr>
        <w:t xml:space="preserve">agreed in RAN1, </w:t>
      </w:r>
      <w:r w:rsidR="00BC63F5">
        <w:rPr>
          <w:lang w:eastAsia="zh-CN"/>
        </w:rPr>
        <w:t xml:space="preserve">SBFD-aware UEs will have the possibility of transmitting RACH on </w:t>
      </w:r>
      <w:r w:rsidR="00B10E98">
        <w:rPr>
          <w:lang w:eastAsia="zh-CN"/>
        </w:rPr>
        <w:t xml:space="preserve">legacy ROs </w:t>
      </w:r>
      <w:r w:rsidR="00BC63F5">
        <w:rPr>
          <w:lang w:eastAsia="zh-CN"/>
        </w:rPr>
        <w:t xml:space="preserve">and </w:t>
      </w:r>
      <w:r w:rsidR="00B10E98">
        <w:rPr>
          <w:lang w:eastAsia="zh-CN"/>
        </w:rPr>
        <w:t>SBFD ROs</w:t>
      </w:r>
      <w:r w:rsidR="00BA275E">
        <w:rPr>
          <w:lang w:eastAsia="zh-CN"/>
        </w:rPr>
        <w:t>, while legacy UEs would only be capable of using legacy ROs.</w:t>
      </w:r>
    </w:p>
    <w:p w14:paraId="533CEDCC" w14:textId="1D40568F" w:rsidR="00D81983" w:rsidRDefault="0090072C" w:rsidP="008F6A2E">
      <w:pPr>
        <w:jc w:val="both"/>
        <w:rPr>
          <w:rFonts w:ascii="Times" w:eastAsia="Batang" w:hAnsi="Times"/>
          <w:color w:val="001135"/>
          <w:kern w:val="24"/>
          <w:sz w:val="18"/>
          <w:szCs w:val="18"/>
          <w:lang w:val="en-US"/>
        </w:rPr>
      </w:pPr>
      <w:r w:rsidRPr="0090072C">
        <w:rPr>
          <w:lang w:eastAsia="zh-CN"/>
        </w:rPr>
        <w:t>In the last meeting, we agreed on the UE selection between the legacy and the additional ROs based on certain specified/configured conditions/prioritizations.</w:t>
      </w:r>
    </w:p>
    <w:tbl>
      <w:tblPr>
        <w:tblStyle w:val="TableGrid"/>
        <w:tblW w:w="0" w:type="auto"/>
        <w:tblLook w:val="04A0" w:firstRow="1" w:lastRow="0" w:firstColumn="1" w:lastColumn="0" w:noHBand="0" w:noVBand="1"/>
      </w:tblPr>
      <w:tblGrid>
        <w:gridCol w:w="9631"/>
      </w:tblGrid>
      <w:tr w:rsidR="007E05C9" w14:paraId="68E5A86C" w14:textId="77777777" w:rsidTr="007E05C9">
        <w:tc>
          <w:tcPr>
            <w:tcW w:w="9631" w:type="dxa"/>
          </w:tcPr>
          <w:p w14:paraId="31B84421" w14:textId="3BAFF94D" w:rsidR="007E05C9" w:rsidRPr="00034F8C" w:rsidRDefault="007E05C9" w:rsidP="008F6A2E">
            <w:pPr>
              <w:jc w:val="both"/>
              <w:rPr>
                <w:rFonts w:ascii="Times New Roman" w:hAnsi="Times New Roman"/>
                <w:b/>
                <w:bCs/>
                <w:highlight w:val="green"/>
              </w:rPr>
            </w:pPr>
            <w:r w:rsidRPr="00034F8C">
              <w:rPr>
                <w:rFonts w:ascii="Times New Roman" w:hAnsi="Times New Roman"/>
                <w:b/>
                <w:bCs/>
                <w:highlight w:val="green"/>
              </w:rPr>
              <w:t>RAN2#127bis</w:t>
            </w:r>
          </w:p>
          <w:p w14:paraId="0203DA98" w14:textId="78781486" w:rsidR="007E05C9" w:rsidRPr="001935EA" w:rsidRDefault="007E05C9" w:rsidP="008F6A2E">
            <w:pPr>
              <w:pStyle w:val="ListParagraph"/>
              <w:numPr>
                <w:ilvl w:val="0"/>
                <w:numId w:val="30"/>
              </w:numPr>
              <w:jc w:val="both"/>
              <w:rPr>
                <w:lang w:val="en-GB" w:eastAsia="zh-CN"/>
              </w:rPr>
            </w:pPr>
            <w:r w:rsidRPr="001935EA">
              <w:rPr>
                <w:lang w:val="en-GB"/>
              </w:rPr>
              <w:lastRenderedPageBreak/>
              <w:t>Upon initiation of CBRA RACH procedure for a SBFD-aware UE, UE selects one type of ROs between legacy-ROs and additional-ROs based on certain specified/configured conditions/prioritizations, if no additional indication (FFS if there needs to be any) is from network.</w:t>
            </w:r>
          </w:p>
        </w:tc>
      </w:tr>
    </w:tbl>
    <w:p w14:paraId="63AEB700" w14:textId="77777777" w:rsidR="007E05C9" w:rsidRDefault="007E05C9" w:rsidP="008F6A2E">
      <w:pPr>
        <w:jc w:val="both"/>
        <w:rPr>
          <w:lang w:eastAsia="zh-CN"/>
        </w:rPr>
      </w:pPr>
    </w:p>
    <w:p w14:paraId="683513B6" w14:textId="54E08F3C" w:rsidR="007E05C9" w:rsidRDefault="007E05C9" w:rsidP="008F6A2E">
      <w:pPr>
        <w:jc w:val="both"/>
        <w:rPr>
          <w:lang w:eastAsia="zh-CN"/>
        </w:rPr>
      </w:pPr>
      <w:r>
        <w:rPr>
          <w:lang w:eastAsia="zh-CN"/>
        </w:rPr>
        <w:t>In the following we present some of these conditions:</w:t>
      </w:r>
    </w:p>
    <w:p w14:paraId="6313CA86" w14:textId="06738B68" w:rsidR="007E05C9" w:rsidRPr="001935EA" w:rsidRDefault="007E05C9" w:rsidP="008F6A2E">
      <w:pPr>
        <w:jc w:val="both"/>
        <w:rPr>
          <w:b/>
          <w:bCs/>
          <w:u w:val="single"/>
          <w:lang w:eastAsia="zh-CN"/>
        </w:rPr>
      </w:pPr>
      <w:r w:rsidRPr="001935EA">
        <w:rPr>
          <w:b/>
          <w:bCs/>
          <w:u w:val="single"/>
          <w:lang w:eastAsia="zh-CN"/>
        </w:rPr>
        <w:t>RO selection based on load balancing and coverage</w:t>
      </w:r>
      <w:r w:rsidR="0090072C">
        <w:rPr>
          <w:b/>
          <w:bCs/>
          <w:u w:val="single"/>
          <w:lang w:eastAsia="zh-CN"/>
        </w:rPr>
        <w:t xml:space="preserve"> [Option 1 and Option 2]</w:t>
      </w:r>
      <w:r w:rsidRPr="001935EA">
        <w:rPr>
          <w:b/>
          <w:bCs/>
          <w:u w:val="single"/>
          <w:lang w:eastAsia="zh-CN"/>
        </w:rPr>
        <w:t>:</w:t>
      </w:r>
    </w:p>
    <w:p w14:paraId="4D1F0B8B" w14:textId="104C1E8E" w:rsidR="00781073" w:rsidRDefault="00BA275E" w:rsidP="008F6A2E">
      <w:pPr>
        <w:jc w:val="both"/>
        <w:rPr>
          <w:lang w:eastAsia="zh-CN"/>
        </w:rPr>
      </w:pPr>
      <w:r>
        <w:rPr>
          <w:lang w:eastAsia="zh-CN"/>
        </w:rPr>
        <w:t xml:space="preserve"> For </w:t>
      </w:r>
      <w:r w:rsidR="006C01BF">
        <w:rPr>
          <w:lang w:eastAsia="zh-CN"/>
        </w:rPr>
        <w:t xml:space="preserve">load balancing purposes, it is beneficial that SBFD-aware UEs prioritize as much as possible </w:t>
      </w:r>
      <w:r w:rsidR="00A2340F">
        <w:rPr>
          <w:lang w:eastAsia="zh-CN"/>
        </w:rPr>
        <w:t xml:space="preserve">RACH transmissions on SBFD ROs </w:t>
      </w:r>
      <w:r w:rsidR="00337748">
        <w:rPr>
          <w:lang w:eastAsia="zh-CN"/>
        </w:rPr>
        <w:t xml:space="preserve">and avoid consuming </w:t>
      </w:r>
      <w:r w:rsidR="00781073">
        <w:rPr>
          <w:lang w:eastAsia="zh-CN"/>
        </w:rPr>
        <w:t xml:space="preserve">the quite-limited capacity of legacy RACH occasions. </w:t>
      </w:r>
      <w:r w:rsidR="00102719">
        <w:rPr>
          <w:lang w:eastAsia="zh-CN"/>
        </w:rPr>
        <w:t xml:space="preserve">Considering that UE-to-UE CLI may </w:t>
      </w:r>
      <w:r w:rsidR="00805D3C">
        <w:rPr>
          <w:lang w:eastAsia="zh-CN"/>
        </w:rPr>
        <w:t xml:space="preserve">only be a problem in SBFD ROs but not in legacy </w:t>
      </w:r>
      <w:proofErr w:type="gramStart"/>
      <w:r w:rsidR="00805D3C">
        <w:rPr>
          <w:lang w:eastAsia="zh-CN"/>
        </w:rPr>
        <w:t xml:space="preserve">ROs, </w:t>
      </w:r>
      <w:r w:rsidR="00143B7F">
        <w:rPr>
          <w:lang w:eastAsia="zh-CN"/>
        </w:rPr>
        <w:t>and</w:t>
      </w:r>
      <w:proofErr w:type="gramEnd"/>
      <w:r w:rsidR="00143B7F">
        <w:rPr>
          <w:lang w:eastAsia="zh-CN"/>
        </w:rPr>
        <w:t xml:space="preserve"> may be especially critical in cell-edge areas (</w:t>
      </w:r>
      <w:r w:rsidR="00D312BE">
        <w:rPr>
          <w:lang w:eastAsia="zh-CN"/>
        </w:rPr>
        <w:t>where the UL transmission power is high, while the DL received signal power is low</w:t>
      </w:r>
      <w:r w:rsidR="00143B7F">
        <w:rPr>
          <w:lang w:eastAsia="zh-CN"/>
        </w:rPr>
        <w:t>)</w:t>
      </w:r>
      <w:r w:rsidR="00D312BE">
        <w:rPr>
          <w:lang w:eastAsia="zh-CN"/>
        </w:rPr>
        <w:t xml:space="preserve">, </w:t>
      </w:r>
      <w:r w:rsidR="00EE5824">
        <w:rPr>
          <w:lang w:eastAsia="zh-CN"/>
        </w:rPr>
        <w:t>t</w:t>
      </w:r>
      <w:r w:rsidR="000D131E">
        <w:rPr>
          <w:lang w:eastAsia="zh-CN"/>
        </w:rPr>
        <w:t xml:space="preserve">he </w:t>
      </w:r>
      <w:r w:rsidR="00EE5824">
        <w:rPr>
          <w:lang w:eastAsia="zh-CN"/>
        </w:rPr>
        <w:t>selection between legacy</w:t>
      </w:r>
      <w:r w:rsidR="000D131E">
        <w:rPr>
          <w:lang w:eastAsia="zh-CN"/>
        </w:rPr>
        <w:t xml:space="preserve"> </w:t>
      </w:r>
      <w:r w:rsidR="00EE5824">
        <w:rPr>
          <w:lang w:eastAsia="zh-CN"/>
        </w:rPr>
        <w:t xml:space="preserve">ROs and SBFD ROs may also be </w:t>
      </w:r>
      <w:r w:rsidR="00E70D5C">
        <w:rPr>
          <w:lang w:eastAsia="zh-CN"/>
        </w:rPr>
        <w:t xml:space="preserve">based </w:t>
      </w:r>
      <w:r w:rsidR="000E2FED">
        <w:rPr>
          <w:lang w:eastAsia="zh-CN"/>
        </w:rPr>
        <w:t>UE’s coverage conditions</w:t>
      </w:r>
      <w:r w:rsidR="00D312BE">
        <w:rPr>
          <w:lang w:eastAsia="zh-CN"/>
        </w:rPr>
        <w:t xml:space="preserve">. For instance, </w:t>
      </w:r>
      <w:r w:rsidR="00E42597">
        <w:rPr>
          <w:lang w:eastAsia="zh-CN"/>
        </w:rPr>
        <w:t xml:space="preserve">a </w:t>
      </w:r>
      <w:r w:rsidR="00F3224A">
        <w:rPr>
          <w:lang w:eastAsia="zh-CN"/>
        </w:rPr>
        <w:t xml:space="preserve">cell-centre UEs </w:t>
      </w:r>
      <w:r w:rsidR="00617BC7">
        <w:rPr>
          <w:lang w:eastAsia="zh-CN"/>
        </w:rPr>
        <w:t>transmit RACH on</w:t>
      </w:r>
      <w:r w:rsidR="00F3224A">
        <w:rPr>
          <w:lang w:eastAsia="zh-CN"/>
        </w:rPr>
        <w:t xml:space="preserve"> SBFD ROs</w:t>
      </w:r>
      <w:r w:rsidR="00D312BE">
        <w:rPr>
          <w:lang w:eastAsia="zh-CN"/>
        </w:rPr>
        <w:t>,</w:t>
      </w:r>
      <w:r w:rsidR="00F3224A">
        <w:rPr>
          <w:lang w:eastAsia="zh-CN"/>
        </w:rPr>
        <w:t xml:space="preserve"> while a </w:t>
      </w:r>
      <w:r w:rsidR="00617BC7">
        <w:rPr>
          <w:lang w:eastAsia="zh-CN"/>
        </w:rPr>
        <w:t xml:space="preserve">cell-edge </w:t>
      </w:r>
      <w:r w:rsidR="00B9185C">
        <w:rPr>
          <w:lang w:eastAsia="zh-CN"/>
        </w:rPr>
        <w:t xml:space="preserve">SBFD-aware </w:t>
      </w:r>
      <w:r w:rsidR="00F3224A">
        <w:rPr>
          <w:lang w:eastAsia="zh-CN"/>
        </w:rPr>
        <w:t>UE</w:t>
      </w:r>
      <w:r w:rsidR="00617BC7">
        <w:rPr>
          <w:lang w:eastAsia="zh-CN"/>
        </w:rPr>
        <w:t xml:space="preserve"> </w:t>
      </w:r>
      <w:r w:rsidR="00B9185C">
        <w:rPr>
          <w:lang w:eastAsia="zh-CN"/>
        </w:rPr>
        <w:t xml:space="preserve">uses ROs </w:t>
      </w:r>
      <w:r w:rsidR="00B40EE2">
        <w:rPr>
          <w:lang w:eastAsia="zh-CN"/>
        </w:rPr>
        <w:t xml:space="preserve">belonging to the legacy RACH configuration. </w:t>
      </w:r>
    </w:p>
    <w:p w14:paraId="47D29D15" w14:textId="1804E378" w:rsidR="00A16E70" w:rsidRDefault="00D76239" w:rsidP="008F6A2E">
      <w:pPr>
        <w:jc w:val="both"/>
        <w:rPr>
          <w:lang w:eastAsia="zh-CN"/>
        </w:rPr>
      </w:pPr>
      <w:r>
        <w:rPr>
          <w:b/>
          <w:bCs/>
        </w:rPr>
        <w:t>Observation 1</w:t>
      </w:r>
      <w:r w:rsidR="00D312BE">
        <w:t xml:space="preserve">: </w:t>
      </w:r>
      <w:r w:rsidR="00F0001B">
        <w:t>For CBRA and CFRA, f</w:t>
      </w:r>
      <w:r w:rsidR="005E4C5A">
        <w:t xml:space="preserve">rom the </w:t>
      </w:r>
      <w:r w:rsidR="00C514D5">
        <w:t xml:space="preserve">SBFD-aware UE </w:t>
      </w:r>
      <w:r w:rsidR="005E4C5A">
        <w:t xml:space="preserve">perspective and to have better load balancing across different RACH </w:t>
      </w:r>
      <w:proofErr w:type="gramStart"/>
      <w:r w:rsidR="00EB3077">
        <w:t>resources</w:t>
      </w:r>
      <w:r w:rsidR="005E4C5A">
        <w:t xml:space="preserve">, </w:t>
      </w:r>
      <w:r w:rsidR="0024499E">
        <w:t xml:space="preserve"> SBFD</w:t>
      </w:r>
      <w:proofErr w:type="gramEnd"/>
      <w:r w:rsidR="0024499E">
        <w:t xml:space="preserve"> </w:t>
      </w:r>
      <w:r w:rsidR="008008C0">
        <w:t xml:space="preserve">ROs </w:t>
      </w:r>
      <w:r w:rsidR="0024499E">
        <w:t xml:space="preserve">shall </w:t>
      </w:r>
      <w:r w:rsidR="005E4C5A">
        <w:t>have</w:t>
      </w:r>
      <w:r w:rsidR="0024499E">
        <w:t xml:space="preserve"> higher </w:t>
      </w:r>
      <w:r w:rsidR="005E4C5A">
        <w:t>priority</w:t>
      </w:r>
      <w:r w:rsidR="0024499E">
        <w:t xml:space="preserve"> than legacy (ROs)</w:t>
      </w:r>
      <w:r w:rsidR="005E4C5A">
        <w:t xml:space="preserve">. The priority between SBFD and legacy ROs </w:t>
      </w:r>
      <w:r w:rsidR="00EB3077">
        <w:t>can be</w:t>
      </w:r>
      <w:r w:rsidR="003E2425">
        <w:t xml:space="preserve"> </w:t>
      </w:r>
      <w:r w:rsidR="00EB3077">
        <w:t>based</w:t>
      </w:r>
      <w:r w:rsidR="003E2425">
        <w:t xml:space="preserve"> on the </w:t>
      </w:r>
      <w:r w:rsidR="003E2425">
        <w:rPr>
          <w:lang w:eastAsia="zh-CN"/>
        </w:rPr>
        <w:t>UE’s coverage conditions</w:t>
      </w:r>
      <w:r w:rsidR="00A16E70">
        <w:rPr>
          <w:lang w:eastAsia="zh-CN"/>
        </w:rPr>
        <w:t>.</w:t>
      </w:r>
    </w:p>
    <w:p w14:paraId="4C0D8A22" w14:textId="2F334B6D" w:rsidR="0090072C" w:rsidRDefault="007E05C9" w:rsidP="008F6A2E">
      <w:pPr>
        <w:jc w:val="both"/>
        <w:rPr>
          <w:lang w:val="en-US"/>
        </w:rPr>
      </w:pPr>
      <w:r>
        <w:rPr>
          <w:b/>
          <w:bCs/>
        </w:rPr>
        <w:t>P</w:t>
      </w:r>
      <w:r w:rsidRPr="00364B02">
        <w:rPr>
          <w:b/>
          <w:bCs/>
        </w:rPr>
        <w:t xml:space="preserve">roposal </w:t>
      </w:r>
      <w:r w:rsidR="00D76239">
        <w:rPr>
          <w:b/>
          <w:bCs/>
        </w:rPr>
        <w:t>3</w:t>
      </w:r>
      <w:r>
        <w:t xml:space="preserve">: </w:t>
      </w:r>
      <w:r w:rsidRPr="00DB45F9">
        <w:rPr>
          <w:lang w:val="en-US"/>
        </w:rPr>
        <w:t>For RACH configuration Option 1 and Option 2, an SBFD aware UE selects RO type for Msg1 transmission based on UE’s coverage condition. Details are FFS.</w:t>
      </w:r>
    </w:p>
    <w:p w14:paraId="4BCDA734" w14:textId="3A5FF182" w:rsidR="0090072C" w:rsidRPr="0068253F" w:rsidRDefault="0090072C" w:rsidP="008F6A2E">
      <w:pPr>
        <w:jc w:val="both"/>
        <w:rPr>
          <w:b/>
          <w:bCs/>
          <w:u w:val="single"/>
          <w:lang w:eastAsia="zh-CN"/>
        </w:rPr>
      </w:pPr>
      <w:r w:rsidRPr="0068253F">
        <w:rPr>
          <w:b/>
          <w:bCs/>
          <w:u w:val="single"/>
          <w:lang w:eastAsia="zh-CN"/>
        </w:rPr>
        <w:t xml:space="preserve">RO selection based on </w:t>
      </w:r>
      <w:r w:rsidRPr="001935EA">
        <w:rPr>
          <w:b/>
          <w:bCs/>
          <w:lang w:val="en-US"/>
        </w:rPr>
        <w:t>on PRACH preamble format</w:t>
      </w:r>
      <w:r>
        <w:rPr>
          <w:b/>
          <w:bCs/>
          <w:u w:val="single"/>
          <w:lang w:eastAsia="zh-CN"/>
        </w:rPr>
        <w:t xml:space="preserve"> [Option 2]</w:t>
      </w:r>
      <w:r w:rsidRPr="0068253F">
        <w:rPr>
          <w:b/>
          <w:bCs/>
          <w:u w:val="single"/>
          <w:lang w:eastAsia="zh-CN"/>
        </w:rPr>
        <w:t>:</w:t>
      </w:r>
    </w:p>
    <w:p w14:paraId="33E63D79" w14:textId="5C3BC012" w:rsidR="0090072C" w:rsidRPr="0090072C" w:rsidRDefault="0090072C" w:rsidP="008F6A2E">
      <w:pPr>
        <w:overflowPunct w:val="0"/>
        <w:autoSpaceDE w:val="0"/>
        <w:autoSpaceDN w:val="0"/>
        <w:adjustRightInd w:val="0"/>
        <w:jc w:val="both"/>
        <w:textAlignment w:val="baseline"/>
        <w:rPr>
          <w:rFonts w:eastAsia="SimSun"/>
          <w:bCs/>
          <w:lang w:val="en-US"/>
        </w:rPr>
      </w:pPr>
      <w:r>
        <w:rPr>
          <w:rFonts w:eastAsia="SimSun"/>
          <w:bCs/>
          <w:lang w:val="en-US"/>
        </w:rPr>
        <w:t>D</w:t>
      </w:r>
      <w:r w:rsidRPr="0090072C">
        <w:rPr>
          <w:rFonts w:eastAsia="SimSun"/>
          <w:bCs/>
          <w:lang w:val="en-US"/>
        </w:rPr>
        <w:t>ue to the support of two PRACH formats with different lengths, SBFD-aware UEs have the possibility to select a suitable</w:t>
      </w:r>
      <w:r>
        <w:rPr>
          <w:rFonts w:eastAsia="SimSun"/>
          <w:bCs/>
          <w:lang w:val="en-US"/>
        </w:rPr>
        <w:t xml:space="preserve"> preamble</w:t>
      </w:r>
      <w:r w:rsidRPr="0090072C">
        <w:rPr>
          <w:rFonts w:eastAsia="SimSun"/>
          <w:bCs/>
          <w:lang w:val="en-US"/>
        </w:rPr>
        <w:t xml:space="preserve"> format based on its location. In </w:t>
      </w:r>
      <w:r w:rsidRPr="0090072C">
        <w:rPr>
          <w:rFonts w:eastAsia="SimSun"/>
          <w:bCs/>
          <w:lang w:val="en-US"/>
        </w:rPr>
        <w:fldChar w:fldCharType="begin"/>
      </w:r>
      <w:r w:rsidRPr="0090072C">
        <w:rPr>
          <w:rFonts w:eastAsia="SimSun"/>
          <w:bCs/>
          <w:lang w:val="en-US"/>
        </w:rPr>
        <w:instrText xml:space="preserve"> REF _Ref173315918 \h </w:instrText>
      </w:r>
      <w:r w:rsidR="008F6A2E">
        <w:rPr>
          <w:rFonts w:eastAsia="SimSun"/>
          <w:bCs/>
          <w:lang w:val="en-US"/>
        </w:rPr>
        <w:instrText xml:space="preserve"> \* MERGEFORMAT </w:instrText>
      </w:r>
      <w:r w:rsidRPr="0090072C">
        <w:rPr>
          <w:rFonts w:eastAsia="SimSun"/>
          <w:bCs/>
          <w:lang w:val="en-US"/>
        </w:rPr>
      </w:r>
      <w:r w:rsidRPr="0090072C">
        <w:rPr>
          <w:rFonts w:eastAsia="SimSun"/>
          <w:bCs/>
          <w:lang w:val="en-US"/>
        </w:rPr>
        <w:fldChar w:fldCharType="separate"/>
      </w:r>
      <w:r w:rsidRPr="0090072C">
        <w:rPr>
          <w:rFonts w:eastAsia="SimSun"/>
          <w:lang w:val="en-US"/>
        </w:rPr>
        <w:t xml:space="preserve">Figure </w:t>
      </w:r>
      <w:r w:rsidRPr="0090072C">
        <w:rPr>
          <w:rFonts w:eastAsia="SimSun"/>
          <w:noProof/>
          <w:lang w:val="en-US"/>
        </w:rPr>
        <w:t>2</w:t>
      </w:r>
      <w:r w:rsidRPr="0090072C">
        <w:rPr>
          <w:rFonts w:eastAsia="SimSun"/>
          <w:bCs/>
          <w:lang w:val="en-US"/>
        </w:rPr>
        <w:fldChar w:fldCharType="end"/>
      </w:r>
      <w:r w:rsidRPr="0090072C">
        <w:rPr>
          <w:rFonts w:eastAsia="SimSun"/>
          <w:bCs/>
          <w:lang w:val="en-US"/>
        </w:rPr>
        <w:t xml:space="preserve">, we show an example of two SBFD-aware UEs. One is in cell range 1, and other is in cell range 2. For UE1 (cell range 1) to access the NW, the short-length PRACH format is better adapted due to its location near the NW. On the contrary, UE2 is in cell range 2, requiring a long-length PRACH format to be able to access the NW. Due to the support of two PCIs in Option 2, these two UEs can select the best PRACH format types based on their location. However, these UEs are in initial access and have no information or indication about their location in reference to the NW. One way to overcome this issue is to measure the SS-RSRP, e.g., in </w:t>
      </w:r>
      <w:r w:rsidRPr="0090072C">
        <w:rPr>
          <w:rFonts w:eastAsia="SimSun"/>
          <w:bCs/>
          <w:lang w:val="en-US"/>
        </w:rPr>
        <w:fldChar w:fldCharType="begin"/>
      </w:r>
      <w:r w:rsidRPr="0090072C">
        <w:rPr>
          <w:rFonts w:eastAsia="SimSun"/>
          <w:bCs/>
          <w:lang w:val="en-US"/>
        </w:rPr>
        <w:instrText xml:space="preserve"> REF _Ref173315918 \h </w:instrText>
      </w:r>
      <w:r w:rsidR="008F6A2E">
        <w:rPr>
          <w:rFonts w:eastAsia="SimSun"/>
          <w:bCs/>
          <w:lang w:val="en-US"/>
        </w:rPr>
        <w:instrText xml:space="preserve"> \* MERGEFORMAT </w:instrText>
      </w:r>
      <w:r w:rsidRPr="0090072C">
        <w:rPr>
          <w:rFonts w:eastAsia="SimSun"/>
          <w:bCs/>
          <w:lang w:val="en-US"/>
        </w:rPr>
      </w:r>
      <w:r w:rsidRPr="0090072C">
        <w:rPr>
          <w:rFonts w:eastAsia="SimSun"/>
          <w:bCs/>
          <w:lang w:val="en-US"/>
        </w:rPr>
        <w:fldChar w:fldCharType="separate"/>
      </w:r>
      <w:r w:rsidRPr="0090072C">
        <w:rPr>
          <w:rFonts w:eastAsia="SimSun"/>
          <w:lang w:val="en-US"/>
        </w:rPr>
        <w:t xml:space="preserve">Figure </w:t>
      </w:r>
      <w:r w:rsidRPr="0090072C">
        <w:rPr>
          <w:rFonts w:eastAsia="SimSun"/>
          <w:noProof/>
          <w:lang w:val="en-US"/>
        </w:rPr>
        <w:t>2</w:t>
      </w:r>
      <w:r w:rsidRPr="0090072C">
        <w:rPr>
          <w:rFonts w:eastAsia="SimSun"/>
          <w:bCs/>
          <w:lang w:val="en-US"/>
        </w:rPr>
        <w:fldChar w:fldCharType="end"/>
      </w:r>
      <w:r w:rsidRPr="0090072C">
        <w:rPr>
          <w:rFonts w:eastAsia="SimSun"/>
          <w:bCs/>
          <w:lang w:val="en-US"/>
        </w:rPr>
        <w:t>, UE1 selects the best SSB (SSB#1) with the best received power, and, since the SS-RSRP is higher than a defined SS-RSRP threshold to switch to the long-length PRACH format, UE1 uses ROs configured by the legacy RACH configuration. Following, UE2 selects the best SSB (SSB#6), with a received power lower than the defined SS-RSRP threshold; therefore, it decides to enable the additional ROs configured with the additional RACH configuration.</w:t>
      </w:r>
    </w:p>
    <w:p w14:paraId="22D10FD1" w14:textId="7368F187" w:rsidR="0090072C" w:rsidRPr="0090072C" w:rsidRDefault="0090072C" w:rsidP="008F6A2E">
      <w:pPr>
        <w:overflowPunct w:val="0"/>
        <w:autoSpaceDE w:val="0"/>
        <w:autoSpaceDN w:val="0"/>
        <w:adjustRightInd w:val="0"/>
        <w:spacing w:before="240" w:after="240"/>
        <w:jc w:val="both"/>
        <w:textAlignment w:val="baseline"/>
        <w:rPr>
          <w:rFonts w:eastAsia="SimSun"/>
          <w:b/>
          <w:bCs/>
          <w:i/>
          <w:lang w:val="en-US"/>
        </w:rPr>
      </w:pPr>
      <w:bookmarkStart w:id="0" w:name="_Toc178932447"/>
      <w:r w:rsidRPr="001935EA">
        <w:rPr>
          <w:rFonts w:eastAsia="SimSun"/>
          <w:b/>
          <w:iCs/>
          <w:lang w:val="en-US"/>
        </w:rPr>
        <w:t xml:space="preserve">Proposal </w:t>
      </w:r>
      <w:r w:rsidR="00D76239" w:rsidRPr="001935EA">
        <w:rPr>
          <w:rFonts w:eastAsia="SimSun"/>
          <w:b/>
          <w:iCs/>
          <w:lang w:val="en-US"/>
        </w:rPr>
        <w:t>4</w:t>
      </w:r>
      <w:r w:rsidR="00D76239">
        <w:rPr>
          <w:rFonts w:eastAsia="SimSun"/>
          <w:b/>
          <w:i/>
          <w:lang w:val="en-US"/>
        </w:rPr>
        <w:t>:</w:t>
      </w:r>
      <w:r w:rsidRPr="001935EA">
        <w:rPr>
          <w:rFonts w:eastAsia="SimSun"/>
          <w:bCs/>
          <w:iCs/>
          <w:lang w:val="en-US"/>
        </w:rPr>
        <w:t xml:space="preserve">  For Option 2, in case two RACH configurations with two different PRACH formats lengths, SBFD aware UEs selects the best PRACH format length configured by the legacy or the additional RACH configuration for the initial access based at least on SSB-RSRP threshold(s). Details FFS.</w:t>
      </w:r>
      <w:bookmarkEnd w:id="0"/>
    </w:p>
    <w:p w14:paraId="49589BFE" w14:textId="77777777" w:rsidR="0090072C" w:rsidRPr="0090072C" w:rsidRDefault="0090072C" w:rsidP="0090072C">
      <w:pPr>
        <w:overflowPunct w:val="0"/>
        <w:autoSpaceDE w:val="0"/>
        <w:autoSpaceDN w:val="0"/>
        <w:adjustRightInd w:val="0"/>
        <w:jc w:val="center"/>
        <w:textAlignment w:val="baseline"/>
        <w:rPr>
          <w:rFonts w:eastAsia="SimSun"/>
          <w:lang w:val="en-US"/>
        </w:rPr>
      </w:pPr>
      <w:r w:rsidRPr="0090072C">
        <w:rPr>
          <w:rFonts w:eastAsia="SimSun"/>
          <w:noProof/>
          <w:lang w:val="en-US"/>
        </w:rPr>
        <w:drawing>
          <wp:inline distT="0" distB="0" distL="0" distR="0" wp14:anchorId="1275DDEE" wp14:editId="0E973FFF">
            <wp:extent cx="5135486" cy="2955182"/>
            <wp:effectExtent l="0" t="0" r="8255" b="0"/>
            <wp:docPr id="1568222901" name="Picture 1"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222901" name="Picture 1" descr="A screen shot of a video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65084" cy="2972214"/>
                    </a:xfrm>
                    <a:prstGeom prst="rect">
                      <a:avLst/>
                    </a:prstGeom>
                    <a:noFill/>
                  </pic:spPr>
                </pic:pic>
              </a:graphicData>
            </a:graphic>
          </wp:inline>
        </w:drawing>
      </w:r>
    </w:p>
    <w:p w14:paraId="67653BA8" w14:textId="77777777" w:rsidR="0090072C" w:rsidRPr="0090072C" w:rsidRDefault="0090072C" w:rsidP="0090072C">
      <w:pPr>
        <w:keepNext/>
        <w:overflowPunct w:val="0"/>
        <w:autoSpaceDE w:val="0"/>
        <w:autoSpaceDN w:val="0"/>
        <w:adjustRightInd w:val="0"/>
        <w:jc w:val="center"/>
        <w:textAlignment w:val="baseline"/>
        <w:rPr>
          <w:rFonts w:eastAsia="SimSun"/>
          <w:lang w:val="en-US"/>
        </w:rPr>
      </w:pPr>
      <w:r w:rsidRPr="0090072C">
        <w:rPr>
          <w:rFonts w:eastAsia="SimSun"/>
          <w:noProof/>
          <w:lang w:val="en-US"/>
        </w:rPr>
        <w:lastRenderedPageBreak/>
        <w:drawing>
          <wp:inline distT="0" distB="0" distL="0" distR="0" wp14:anchorId="0F6F34EC" wp14:editId="4E48E205">
            <wp:extent cx="4721772" cy="2703195"/>
            <wp:effectExtent l="0" t="0" r="3175" b="0"/>
            <wp:docPr id="880483846" name="Picture 5" descr="A graph with 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483846" name="Picture 5" descr="A graph with red square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7928" cy="2723894"/>
                    </a:xfrm>
                    <a:prstGeom prst="rect">
                      <a:avLst/>
                    </a:prstGeom>
                    <a:noFill/>
                  </pic:spPr>
                </pic:pic>
              </a:graphicData>
            </a:graphic>
          </wp:inline>
        </w:drawing>
      </w:r>
    </w:p>
    <w:p w14:paraId="3E6B3489" w14:textId="31AE9AD0" w:rsidR="0090072C" w:rsidRDefault="0090072C" w:rsidP="008F6A2E">
      <w:pPr>
        <w:jc w:val="center"/>
        <w:rPr>
          <w:lang w:eastAsia="zh-CN"/>
        </w:rPr>
      </w:pPr>
      <w:bookmarkStart w:id="1" w:name="_Ref173315918"/>
      <w:r w:rsidRPr="0090072C">
        <w:rPr>
          <w:rFonts w:eastAsia="SimSun"/>
          <w:lang w:val="en-US"/>
        </w:rPr>
        <w:t xml:space="preserve">Figure </w:t>
      </w:r>
      <w:r w:rsidRPr="0090072C">
        <w:rPr>
          <w:rFonts w:eastAsia="SimSun"/>
          <w:lang w:val="en-US"/>
        </w:rPr>
        <w:fldChar w:fldCharType="begin"/>
      </w:r>
      <w:r w:rsidRPr="0090072C">
        <w:rPr>
          <w:rFonts w:eastAsia="SimSun"/>
          <w:lang w:val="en-US"/>
        </w:rPr>
        <w:instrText xml:space="preserve"> SEQ Figure \* ARABIC </w:instrText>
      </w:r>
      <w:r w:rsidRPr="0090072C">
        <w:rPr>
          <w:rFonts w:eastAsia="SimSun"/>
          <w:lang w:val="en-US"/>
        </w:rPr>
        <w:fldChar w:fldCharType="separate"/>
      </w:r>
      <w:r w:rsidRPr="0090072C">
        <w:rPr>
          <w:rFonts w:eastAsia="SimSun"/>
          <w:lang w:val="en-US"/>
        </w:rPr>
        <w:t>2</w:t>
      </w:r>
      <w:r w:rsidRPr="0090072C">
        <w:rPr>
          <w:rFonts w:eastAsia="SimSun"/>
          <w:lang w:val="en-US"/>
        </w:rPr>
        <w:fldChar w:fldCharType="end"/>
      </w:r>
      <w:bookmarkEnd w:id="1"/>
      <w:r w:rsidRPr="0090072C">
        <w:rPr>
          <w:rFonts w:eastAsia="SimSun"/>
          <w:lang w:val="en-US"/>
        </w:rPr>
        <w:t xml:space="preserve"> SBFD aware UEs select the best PRACH preamble format based on their location regarding the NW.</w:t>
      </w:r>
    </w:p>
    <w:p w14:paraId="76970FD3" w14:textId="37256242" w:rsidR="00F86A5B" w:rsidRDefault="00F86A5B" w:rsidP="00F86A5B">
      <w:pPr>
        <w:pStyle w:val="Heading2"/>
        <w:rPr>
          <w:lang w:eastAsia="zh-CN"/>
        </w:rPr>
      </w:pPr>
      <w:r>
        <w:rPr>
          <w:lang w:eastAsia="zh-CN"/>
        </w:rPr>
        <w:t>RA-RNTI collision in SBFD</w:t>
      </w:r>
    </w:p>
    <w:p w14:paraId="5A10D4FE" w14:textId="1B7CC716" w:rsidR="00C44A2A" w:rsidRDefault="00C44A2A" w:rsidP="00C44A2A">
      <w:pPr>
        <w:jc w:val="both"/>
        <w:rPr>
          <w:lang w:val="en-US"/>
        </w:rPr>
      </w:pPr>
      <w:r w:rsidRPr="00EB45A7">
        <w:rPr>
          <w:lang w:val="en-US"/>
        </w:rPr>
        <w:t xml:space="preserve">For the additional RACH configuration in option 2, designed for SBFD-aware UEs, a challenge is avoiding RA-RNTI confusion caused by having two sets of RACH resources. The RA-RNTI is used by a UE to receive the </w:t>
      </w:r>
      <w:proofErr w:type="gramStart"/>
      <w:r w:rsidRPr="00EB45A7">
        <w:rPr>
          <w:lang w:val="en-US"/>
        </w:rPr>
        <w:t>Random Access</w:t>
      </w:r>
      <w:proofErr w:type="gramEnd"/>
      <w:r w:rsidRPr="00EB45A7">
        <w:rPr>
          <w:lang w:val="en-US"/>
        </w:rPr>
        <w:t xml:space="preserve"> Response (RAR) once the PRACH is transmitted. Different RACH occasions within a system frame are assigned unique RA-RNTI values to ensure that the RAR for a given PRACH transmission is directed only to the UE that used that specific RACH occasion. If two RACH occasions share the same RA-RNTI value, there is a risk that two UEs using different RACH occasions could incorrectly act on the same RAR message.</w:t>
      </w:r>
    </w:p>
    <w:p w14:paraId="5F3C8FB5" w14:textId="6BC6C0FF" w:rsidR="00C44A2A" w:rsidRPr="00F876CC" w:rsidRDefault="00C44A2A" w:rsidP="00F876CC">
      <w:pPr>
        <w:jc w:val="both"/>
        <w:rPr>
          <w:lang w:val="en-US"/>
        </w:rPr>
      </w:pPr>
      <w:r>
        <w:rPr>
          <w:lang w:val="en-US"/>
        </w:rPr>
        <w:t xml:space="preserve">More specifically, the UE calculates the RA-RANTI when sending the Msg 1 of the RA procedure. </w:t>
      </w:r>
      <w:r w:rsidRPr="00EB45A7">
        <w:rPr>
          <w:lang w:val="en-US"/>
        </w:rPr>
        <w:t>According to TS38.321, the RA-RNTI is computed as</w:t>
      </w:r>
    </w:p>
    <w:p w14:paraId="18CC0635" w14:textId="6F39FCD6" w:rsidR="00C44A2A" w:rsidRDefault="00C44A2A" w:rsidP="00C222A8">
      <w:pPr>
        <w:jc w:val="center"/>
        <w:rPr>
          <w:i/>
          <w:iCs/>
        </w:rPr>
      </w:pPr>
      <w:r>
        <w:rPr>
          <w:i/>
          <w:iCs/>
        </w:rPr>
        <w:t xml:space="preserve">RA-RNTI = 1 + </w:t>
      </w:r>
      <w:proofErr w:type="spellStart"/>
      <w:r>
        <w:rPr>
          <w:i/>
          <w:iCs/>
        </w:rPr>
        <w:t>s_id</w:t>
      </w:r>
      <w:proofErr w:type="spellEnd"/>
      <w:r>
        <w:rPr>
          <w:i/>
          <w:iCs/>
        </w:rPr>
        <w:t xml:space="preserve"> + 14 × </w:t>
      </w:r>
      <w:proofErr w:type="spellStart"/>
      <w:r>
        <w:rPr>
          <w:i/>
          <w:iCs/>
        </w:rPr>
        <w:t>t_id</w:t>
      </w:r>
      <w:proofErr w:type="spellEnd"/>
      <w:r>
        <w:rPr>
          <w:i/>
          <w:iCs/>
        </w:rPr>
        <w:t xml:space="preserve"> + 14 × 80 × </w:t>
      </w:r>
      <w:proofErr w:type="spellStart"/>
      <w:r>
        <w:rPr>
          <w:i/>
          <w:iCs/>
          <w:color w:val="FF0000"/>
        </w:rPr>
        <w:t>f_id</w:t>
      </w:r>
      <w:proofErr w:type="spellEnd"/>
      <w:r>
        <w:rPr>
          <w:i/>
          <w:iCs/>
          <w:color w:val="FF0000"/>
        </w:rPr>
        <w:t xml:space="preserve"> </w:t>
      </w:r>
      <w:r>
        <w:rPr>
          <w:i/>
          <w:iCs/>
        </w:rPr>
        <w:t xml:space="preserve">+ 14 × 80 × 8 × </w:t>
      </w:r>
      <w:proofErr w:type="spellStart"/>
      <w:r>
        <w:rPr>
          <w:i/>
          <w:iCs/>
        </w:rPr>
        <w:t>ul_carrier_id</w:t>
      </w:r>
      <w:proofErr w:type="spellEnd"/>
    </w:p>
    <w:p w14:paraId="6616DABF" w14:textId="77777777" w:rsidR="00C44A2A" w:rsidRDefault="00C44A2A" w:rsidP="00C44A2A">
      <w:r>
        <w:t xml:space="preserve"> </w:t>
      </w:r>
      <w:proofErr w:type="gramStart"/>
      <w:r>
        <w:t>where</w:t>
      </w:r>
      <w:proofErr w:type="gramEnd"/>
      <w:r>
        <w:t xml:space="preserve">, </w:t>
      </w:r>
    </w:p>
    <w:p w14:paraId="15D2B3C5" w14:textId="77777777" w:rsidR="00C44A2A" w:rsidRPr="00EB45A7" w:rsidRDefault="00C44A2A" w:rsidP="008A055D">
      <w:pPr>
        <w:pStyle w:val="ListParagraph"/>
        <w:numPr>
          <w:ilvl w:val="0"/>
          <w:numId w:val="13"/>
        </w:numPr>
        <w:spacing w:after="0"/>
        <w:contextualSpacing w:val="0"/>
      </w:pPr>
      <w:proofErr w:type="spellStart"/>
      <w:r w:rsidRPr="00EB45A7">
        <w:t>s_id</w:t>
      </w:r>
      <w:proofErr w:type="spellEnd"/>
      <w:r w:rsidRPr="00EB45A7">
        <w:t xml:space="preserve"> is the index of the first OFDM symbol of the PRACH occasion (0 ≤ </w:t>
      </w:r>
      <w:proofErr w:type="spellStart"/>
      <w:r w:rsidRPr="00EB45A7">
        <w:t>s_id</w:t>
      </w:r>
      <w:proofErr w:type="spellEnd"/>
      <w:r w:rsidRPr="00EB45A7">
        <w:t xml:space="preserve"> &lt; 14)</w:t>
      </w:r>
    </w:p>
    <w:p w14:paraId="4F475300" w14:textId="77777777" w:rsidR="00C44A2A" w:rsidRPr="00EB45A7" w:rsidRDefault="00C44A2A" w:rsidP="008A055D">
      <w:pPr>
        <w:pStyle w:val="ListParagraph"/>
        <w:numPr>
          <w:ilvl w:val="0"/>
          <w:numId w:val="13"/>
        </w:numPr>
        <w:spacing w:after="0"/>
        <w:contextualSpacing w:val="0"/>
      </w:pPr>
      <w:proofErr w:type="spellStart"/>
      <w:r w:rsidRPr="00EB45A7">
        <w:t>t_id</w:t>
      </w:r>
      <w:proofErr w:type="spellEnd"/>
      <w:r w:rsidRPr="00EB45A7">
        <w:t xml:space="preserve"> is the index of the first slot of the PRACH occasion in a system frame (0 ≤ </w:t>
      </w:r>
      <w:proofErr w:type="spellStart"/>
      <w:r w:rsidRPr="00EB45A7">
        <w:t>t_id</w:t>
      </w:r>
      <w:proofErr w:type="spellEnd"/>
      <w:r w:rsidRPr="00EB45A7">
        <w:t xml:space="preserve"> &lt; 80)</w:t>
      </w:r>
    </w:p>
    <w:p w14:paraId="7E47F6F2" w14:textId="77777777" w:rsidR="00C44A2A" w:rsidRPr="00EB45A7" w:rsidRDefault="00C44A2A" w:rsidP="008A055D">
      <w:pPr>
        <w:pStyle w:val="ListParagraph"/>
        <w:numPr>
          <w:ilvl w:val="0"/>
          <w:numId w:val="13"/>
        </w:numPr>
        <w:spacing w:after="0"/>
        <w:contextualSpacing w:val="0"/>
      </w:pPr>
      <w:proofErr w:type="spellStart"/>
      <w:r w:rsidRPr="00EB45A7">
        <w:t>f_id</w:t>
      </w:r>
      <w:proofErr w:type="spellEnd"/>
      <w:r w:rsidRPr="00EB45A7">
        <w:t xml:space="preserve"> is the index of the PRACH occasion in the frequency domain (0 ≤ </w:t>
      </w:r>
      <w:proofErr w:type="spellStart"/>
      <w:r w:rsidRPr="00EB45A7">
        <w:t>f_id</w:t>
      </w:r>
      <w:proofErr w:type="spellEnd"/>
      <w:r w:rsidRPr="00EB45A7">
        <w:t xml:space="preserve"> &lt; 8)</w:t>
      </w:r>
    </w:p>
    <w:p w14:paraId="1C165744" w14:textId="066E195B" w:rsidR="00C44A2A" w:rsidRDefault="00C44A2A" w:rsidP="008A055D">
      <w:pPr>
        <w:pStyle w:val="ListParagraph"/>
        <w:numPr>
          <w:ilvl w:val="0"/>
          <w:numId w:val="13"/>
        </w:numPr>
        <w:spacing w:after="0"/>
        <w:contextualSpacing w:val="0"/>
      </w:pPr>
      <w:proofErr w:type="spellStart"/>
      <w:r w:rsidRPr="00EB45A7">
        <w:t>ul_carrier_id</w:t>
      </w:r>
      <w:proofErr w:type="spellEnd"/>
      <w:r w:rsidRPr="00EB45A7">
        <w:t xml:space="preserve"> is the UL carrier used for Random Access Preamble transmission (0 for NUL carrier, and 1 for SUL carrier)</w:t>
      </w:r>
    </w:p>
    <w:p w14:paraId="5A5441CF" w14:textId="77777777" w:rsidR="001D5576" w:rsidRPr="001D5576" w:rsidRDefault="001D5576" w:rsidP="0B834357">
      <w:pPr>
        <w:pStyle w:val="ListParagraph"/>
        <w:spacing w:after="0"/>
      </w:pPr>
    </w:p>
    <w:p w14:paraId="01A2C0CF" w14:textId="43D41A0A" w:rsidR="00C44A2A" w:rsidRPr="00C44A2A" w:rsidRDefault="00C44A2A" w:rsidP="00C44A2A">
      <w:pPr>
        <w:jc w:val="both"/>
        <w:rPr>
          <w:rFonts w:ascii="Aptos" w:hAnsi="Aptos"/>
        </w:rPr>
      </w:pPr>
      <w:r w:rsidRPr="00EB45A7">
        <w:t xml:space="preserve">For PRACH configuration Option 2 (i.e., an SBFD-aware UE is configured with </w:t>
      </w:r>
      <w:r>
        <w:t xml:space="preserve">a legacy and </w:t>
      </w:r>
      <w:r w:rsidRPr="00EB45A7">
        <w:t>additional PRACH configurations), there is a possibility that the SBFD ROs</w:t>
      </w:r>
      <w:r>
        <w:t xml:space="preserve"> </w:t>
      </w:r>
      <w:r w:rsidRPr="00EB45A7">
        <w:t xml:space="preserve">configured by the additional configurations may overlap with the legacy ROs. This could happen in flexible symbols (as both legacy and SBFD ROs can be configured in flexible symbols). When this overlapping happens, there is a non-negligible possibility that at least </w:t>
      </w:r>
      <w:proofErr w:type="spellStart"/>
      <w:r w:rsidRPr="00EB45A7">
        <w:rPr>
          <w:i/>
          <w:iCs/>
        </w:rPr>
        <w:t>s_id</w:t>
      </w:r>
      <w:proofErr w:type="spellEnd"/>
      <w:r w:rsidRPr="00EB45A7">
        <w:t xml:space="preserve"> and </w:t>
      </w:r>
      <w:proofErr w:type="spellStart"/>
      <w:r w:rsidRPr="00EB45A7">
        <w:rPr>
          <w:i/>
          <w:iCs/>
        </w:rPr>
        <w:t>t_id</w:t>
      </w:r>
      <w:proofErr w:type="spellEnd"/>
      <w:r w:rsidRPr="00EB45A7">
        <w:t xml:space="preserve"> of the overlapping legacy RO and SBFD RO are the same (and of course</w:t>
      </w:r>
      <w:r w:rsidR="00BA19B9">
        <w:t>,</w:t>
      </w:r>
      <w:r w:rsidRPr="00EB45A7">
        <w:t xml:space="preserve"> the </w:t>
      </w:r>
      <w:proofErr w:type="spellStart"/>
      <w:r w:rsidRPr="00EB45A7">
        <w:rPr>
          <w:i/>
          <w:iCs/>
        </w:rPr>
        <w:t>ul-carrier_id</w:t>
      </w:r>
      <w:proofErr w:type="spellEnd"/>
      <w:r w:rsidRPr="00EB45A7">
        <w:t xml:space="preserve"> is the same since we are talking about </w:t>
      </w:r>
      <w:r w:rsidR="00BA19B9">
        <w:t>the</w:t>
      </w:r>
      <w:r w:rsidRPr="00EB45A7">
        <w:t xml:space="preserve"> same carrier).</w:t>
      </w:r>
      <w:r>
        <w:rPr>
          <w:rFonts w:ascii="Aptos" w:hAnsi="Aptos"/>
        </w:rPr>
        <w:t xml:space="preserve"> </w:t>
      </w:r>
      <w:r w:rsidRPr="00C44A2A">
        <w:t xml:space="preserve">Now the tricky part is the </w:t>
      </w:r>
      <w:proofErr w:type="spellStart"/>
      <w:r w:rsidRPr="00C44A2A">
        <w:t>f_id</w:t>
      </w:r>
      <w:proofErr w:type="spellEnd"/>
      <w:r w:rsidRPr="00C44A2A">
        <w:t xml:space="preserve">. If the legacy specs </w:t>
      </w:r>
      <w:proofErr w:type="gramStart"/>
      <w:r w:rsidRPr="00C44A2A">
        <w:t>is</w:t>
      </w:r>
      <w:proofErr w:type="gramEnd"/>
      <w:r w:rsidRPr="00C44A2A">
        <w:t xml:space="preserve"> kept as is, then at the point when there is such overlapping, there is a mismatch between the frequency indices being used by legacy UEs and the one</w:t>
      </w:r>
      <w:r w:rsidR="005D64B9">
        <w:t>s</w:t>
      </w:r>
      <w:r w:rsidRPr="00C44A2A">
        <w:t xml:space="preserve"> being used by SBFD UEs. This leads to the same RA-RNTI and </w:t>
      </w:r>
      <w:r w:rsidR="00BA19B9">
        <w:t>c</w:t>
      </w:r>
      <w:r w:rsidR="001D5576">
        <w:t>onfuses</w:t>
      </w:r>
      <w:r w:rsidRPr="00C44A2A">
        <w:t xml:space="preserve"> these UE when receiving the same RA-RNTI.</w:t>
      </w:r>
    </w:p>
    <w:p w14:paraId="38B6D778" w14:textId="7B0A2B9A" w:rsidR="00444BD3" w:rsidRPr="001935EA" w:rsidRDefault="002239D1" w:rsidP="00C222A8">
      <w:pPr>
        <w:jc w:val="both"/>
        <w:rPr>
          <w:color w:val="000000" w:themeColor="text1"/>
        </w:rPr>
      </w:pPr>
      <w:r w:rsidRPr="001935EA">
        <w:rPr>
          <w:b/>
          <w:bCs/>
          <w:color w:val="000000" w:themeColor="text1"/>
        </w:rPr>
        <w:t xml:space="preserve">Observation </w:t>
      </w:r>
      <w:r w:rsidR="00AE52C1" w:rsidRPr="001935EA">
        <w:rPr>
          <w:b/>
          <w:bCs/>
          <w:color w:val="000000" w:themeColor="text1"/>
        </w:rPr>
        <w:t>2</w:t>
      </w:r>
      <w:r w:rsidR="00F51C45" w:rsidRPr="001935EA">
        <w:rPr>
          <w:b/>
          <w:bCs/>
          <w:color w:val="000000" w:themeColor="text1"/>
        </w:rPr>
        <w:t xml:space="preserve">: </w:t>
      </w:r>
      <w:r w:rsidR="00F51C45" w:rsidRPr="001935EA">
        <w:rPr>
          <w:color w:val="000000" w:themeColor="text1"/>
        </w:rPr>
        <w:t xml:space="preserve">In PRACH configuration </w:t>
      </w:r>
      <w:r w:rsidR="00307E8D" w:rsidRPr="001935EA">
        <w:rPr>
          <w:color w:val="000000" w:themeColor="text1"/>
        </w:rPr>
        <w:t>O</w:t>
      </w:r>
      <w:r w:rsidR="00F51C45" w:rsidRPr="001935EA">
        <w:rPr>
          <w:color w:val="000000" w:themeColor="text1"/>
        </w:rPr>
        <w:t xml:space="preserve">ption 2, </w:t>
      </w:r>
      <w:r w:rsidR="002B74DB" w:rsidRPr="001935EA">
        <w:rPr>
          <w:color w:val="000000" w:themeColor="text1"/>
        </w:rPr>
        <w:t xml:space="preserve">RA-RNTI collision </w:t>
      </w:r>
      <w:r w:rsidR="00307E8D" w:rsidRPr="001935EA">
        <w:rPr>
          <w:color w:val="000000" w:themeColor="text1"/>
        </w:rPr>
        <w:t xml:space="preserve">happens when </w:t>
      </w:r>
      <w:r w:rsidR="00B1198E" w:rsidRPr="001935EA">
        <w:rPr>
          <w:color w:val="000000" w:themeColor="text1"/>
        </w:rPr>
        <w:t xml:space="preserve">the SBFD ROs configured by the additional configurations may overlap with the legacy ROs in flexible symbols. </w:t>
      </w:r>
      <w:r w:rsidR="00B1198E" w:rsidRPr="001935EA" w:rsidDel="00307E8D">
        <w:rPr>
          <w:color w:val="000000" w:themeColor="text1"/>
        </w:rPr>
        <w:t xml:space="preserve"> </w:t>
      </w:r>
    </w:p>
    <w:p w14:paraId="743F97E9" w14:textId="77777777" w:rsidR="00457399" w:rsidRPr="001935EA" w:rsidRDefault="00444BD3" w:rsidP="001C2143">
      <w:pPr>
        <w:jc w:val="both"/>
        <w:rPr>
          <w:color w:val="000000" w:themeColor="text1"/>
        </w:rPr>
      </w:pPr>
      <w:r w:rsidRPr="001935EA">
        <w:rPr>
          <w:color w:val="000000" w:themeColor="text1"/>
        </w:rPr>
        <w:t>In this scenario, collision can be</w:t>
      </w:r>
      <w:r w:rsidR="00B073E8" w:rsidRPr="001935EA">
        <w:rPr>
          <w:color w:val="000000" w:themeColor="text1"/>
        </w:rPr>
        <w:t xml:space="preserve"> avoided by defining a new rule for </w:t>
      </w:r>
      <w:r w:rsidR="00C34A38" w:rsidRPr="001935EA">
        <w:rPr>
          <w:rFonts w:cs="Arial"/>
          <w:color w:val="000000" w:themeColor="text1"/>
          <w:lang w:val="en-US"/>
        </w:rPr>
        <w:t xml:space="preserve">indexing of </w:t>
      </w:r>
      <w:proofErr w:type="spellStart"/>
      <w:r w:rsidR="00C34A38" w:rsidRPr="001935EA">
        <w:rPr>
          <w:rFonts w:cs="Arial"/>
          <w:color w:val="000000" w:themeColor="text1"/>
          <w:lang w:val="en-US"/>
        </w:rPr>
        <w:t>f_id</w:t>
      </w:r>
      <w:proofErr w:type="spellEnd"/>
      <w:r w:rsidR="00C34A38" w:rsidRPr="001935EA">
        <w:rPr>
          <w:rFonts w:cs="Arial"/>
          <w:color w:val="000000" w:themeColor="text1"/>
          <w:lang w:val="en-US"/>
        </w:rPr>
        <w:t xml:space="preserve"> when there is overlapping without modifying the </w:t>
      </w:r>
      <w:r w:rsidR="00807739" w:rsidRPr="001935EA">
        <w:rPr>
          <w:rFonts w:cs="Arial"/>
          <w:color w:val="000000" w:themeColor="text1"/>
          <w:lang w:val="en-US"/>
        </w:rPr>
        <w:t xml:space="preserve">existing RA-RNTI </w:t>
      </w:r>
      <w:r w:rsidR="00847ED7" w:rsidRPr="001935EA">
        <w:rPr>
          <w:rFonts w:cs="Arial"/>
          <w:color w:val="000000" w:themeColor="text1"/>
          <w:lang w:val="en-US"/>
        </w:rPr>
        <w:t>formula.</w:t>
      </w:r>
      <w:r w:rsidR="00457399" w:rsidRPr="001935EA">
        <w:rPr>
          <w:rFonts w:cs="Arial"/>
          <w:color w:val="000000" w:themeColor="text1"/>
          <w:lang w:val="en-US"/>
        </w:rPr>
        <w:t xml:space="preserve"> Therefor we </w:t>
      </w:r>
      <w:r w:rsidR="00457399" w:rsidRPr="001935EA">
        <w:rPr>
          <w:color w:val="000000" w:themeColor="text1"/>
        </w:rPr>
        <w:t>propose:</w:t>
      </w:r>
    </w:p>
    <w:p w14:paraId="22CE2D05" w14:textId="5C49B49C" w:rsidR="001C2143" w:rsidRPr="001935EA" w:rsidRDefault="00457399" w:rsidP="001C2143">
      <w:pPr>
        <w:jc w:val="both"/>
        <w:rPr>
          <w:color w:val="000000" w:themeColor="text1"/>
        </w:rPr>
      </w:pPr>
      <w:r w:rsidRPr="001935EA">
        <w:rPr>
          <w:b/>
          <w:bCs/>
          <w:color w:val="000000" w:themeColor="text1"/>
        </w:rPr>
        <w:t xml:space="preserve"> Proposal </w:t>
      </w:r>
      <w:r w:rsidR="00AE52C1" w:rsidRPr="001935EA">
        <w:rPr>
          <w:b/>
          <w:bCs/>
          <w:color w:val="000000" w:themeColor="text1"/>
        </w:rPr>
        <w:t>5</w:t>
      </w:r>
      <w:r w:rsidRPr="001935EA">
        <w:rPr>
          <w:color w:val="000000" w:themeColor="text1"/>
        </w:rPr>
        <w:t>: W</w:t>
      </w:r>
      <w:r w:rsidR="001C2143" w:rsidRPr="001935EA">
        <w:rPr>
          <w:color w:val="000000" w:themeColor="text1"/>
        </w:rPr>
        <w:t>hen there is overlapping, the SBFD-aware UE determines the frequency index (</w:t>
      </w:r>
      <w:proofErr w:type="spellStart"/>
      <w:r w:rsidR="001C2143" w:rsidRPr="001935EA">
        <w:rPr>
          <w:color w:val="000000" w:themeColor="text1"/>
        </w:rPr>
        <w:t>f_id</w:t>
      </w:r>
      <w:proofErr w:type="spellEnd"/>
      <w:r w:rsidR="001C2143" w:rsidRPr="001935EA">
        <w:rPr>
          <w:color w:val="000000" w:themeColor="text1"/>
        </w:rPr>
        <w:t xml:space="preserve">) by: </w:t>
      </w:r>
    </w:p>
    <w:p w14:paraId="5AA1EBD6" w14:textId="77777777" w:rsidR="001C2143" w:rsidRPr="001935EA" w:rsidRDefault="001C2143" w:rsidP="001C2143">
      <w:pPr>
        <w:pStyle w:val="ListParagraph"/>
        <w:numPr>
          <w:ilvl w:val="0"/>
          <w:numId w:val="17"/>
        </w:numPr>
        <w:spacing w:after="0"/>
        <w:contextualSpacing w:val="0"/>
        <w:jc w:val="both"/>
        <w:rPr>
          <w:color w:val="000000" w:themeColor="text1"/>
        </w:rPr>
      </w:pPr>
      <w:r w:rsidRPr="001935EA">
        <w:rPr>
          <w:color w:val="000000" w:themeColor="text1"/>
        </w:rPr>
        <w:t>Firstly, determining the frequency index of the legacy ROs by ignoring the SBFD ROs (i.e., aiming at keeping the same legacy index for the legacy ROs).</w:t>
      </w:r>
    </w:p>
    <w:p w14:paraId="10E1547A" w14:textId="77777777" w:rsidR="001C2143" w:rsidRPr="001935EA" w:rsidRDefault="001C2143" w:rsidP="001C2143">
      <w:pPr>
        <w:pStyle w:val="ListParagraph"/>
        <w:numPr>
          <w:ilvl w:val="0"/>
          <w:numId w:val="17"/>
        </w:numPr>
        <w:spacing w:after="0"/>
        <w:contextualSpacing w:val="0"/>
        <w:jc w:val="both"/>
        <w:rPr>
          <w:color w:val="000000" w:themeColor="text1"/>
        </w:rPr>
      </w:pPr>
      <w:r w:rsidRPr="001935EA">
        <w:rPr>
          <w:color w:val="000000" w:themeColor="text1"/>
        </w:rPr>
        <w:lastRenderedPageBreak/>
        <w:t>Secondly, determining the frequency index of SBFD ROs by continuing the indexing starting from the index used for the last legacy RO plus one (and ignoring the legacy ROs).</w:t>
      </w:r>
    </w:p>
    <w:p w14:paraId="405A0ED9" w14:textId="2F7276BB" w:rsidR="00444BD3" w:rsidRDefault="00444BD3" w:rsidP="00C222A8">
      <w:pPr>
        <w:jc w:val="both"/>
      </w:pPr>
    </w:p>
    <w:p w14:paraId="32C789A2" w14:textId="6898353D" w:rsidR="00463B62" w:rsidRDefault="000F446E" w:rsidP="00463B62">
      <w:pPr>
        <w:pStyle w:val="Heading2"/>
        <w:rPr>
          <w:lang w:eastAsia="zh-CN"/>
        </w:rPr>
      </w:pPr>
      <w:r w:rsidRPr="0B834357">
        <w:rPr>
          <w:lang w:eastAsia="zh-CN"/>
        </w:rPr>
        <w:t>Ear</w:t>
      </w:r>
      <w:r w:rsidR="00021D4B" w:rsidRPr="0B834357">
        <w:rPr>
          <w:lang w:eastAsia="zh-CN"/>
        </w:rPr>
        <w:t xml:space="preserve">ly Indication for SBFD </w:t>
      </w:r>
      <w:r w:rsidR="003B351B" w:rsidRPr="0B834357">
        <w:rPr>
          <w:lang w:eastAsia="zh-CN"/>
        </w:rPr>
        <w:t>RA procedure</w:t>
      </w:r>
      <w:r w:rsidR="00B2200B" w:rsidRPr="0B834357">
        <w:rPr>
          <w:lang w:eastAsia="zh-CN"/>
        </w:rPr>
        <w:t xml:space="preserve"> </w:t>
      </w:r>
    </w:p>
    <w:p w14:paraId="03304F87" w14:textId="77777777" w:rsidR="000114FA" w:rsidRDefault="000114FA" w:rsidP="000114FA">
      <w:pPr>
        <w:jc w:val="both"/>
      </w:pPr>
      <w:bookmarkStart w:id="2" w:name="_Toc178843274"/>
      <w:r>
        <w:t xml:space="preserve">In RAN2, it is agreed that if an additional RO is selected by an SBFD-aware UE, early identification via Msg1 is possible from the network’s point of view for this UE without any specification impact. It is also agreed that SBFD will not be introduced as a new feature combination in the current PRACH preamble partitioning framework. </w:t>
      </w:r>
    </w:p>
    <w:p w14:paraId="3FAA5AD8" w14:textId="09EDCF24" w:rsidR="000114FA" w:rsidRDefault="000114FA" w:rsidP="000114FA">
      <w:pPr>
        <w:jc w:val="both"/>
      </w:pPr>
      <w:r>
        <w:t>For the Option 1 PRACH configuration, it is possible that a legacy RO can be selected by both SBFD UEs and legacy UEs for Msg1 transmission. In this scenario, the network will not be able to differentiate between the SBFD UE and legacy UEs.</w:t>
      </w:r>
    </w:p>
    <w:p w14:paraId="7D8A3E1B" w14:textId="77777777" w:rsidR="00843387" w:rsidRDefault="00843387" w:rsidP="00843387">
      <w:pPr>
        <w:jc w:val="both"/>
      </w:pPr>
      <w:r w:rsidRPr="00ED627A">
        <w:rPr>
          <w:rFonts w:cs="Arial"/>
          <w:b/>
          <w:bCs/>
          <w:lang w:eastAsia="zh-CN"/>
        </w:rPr>
        <w:t xml:space="preserve">Observation </w:t>
      </w:r>
      <w:r>
        <w:rPr>
          <w:rFonts w:cs="Arial"/>
          <w:b/>
          <w:bCs/>
          <w:lang w:eastAsia="zh-CN"/>
        </w:rPr>
        <w:t>3</w:t>
      </w:r>
      <w:r>
        <w:rPr>
          <w:rFonts w:cs="Arial"/>
          <w:lang w:eastAsia="zh-CN"/>
        </w:rPr>
        <w:t xml:space="preserve">: It is not possible for the </w:t>
      </w:r>
      <w:proofErr w:type="spellStart"/>
      <w:r>
        <w:rPr>
          <w:rFonts w:cs="Arial"/>
          <w:lang w:eastAsia="zh-CN"/>
        </w:rPr>
        <w:t>gNB</w:t>
      </w:r>
      <w:proofErr w:type="spellEnd"/>
      <w:r>
        <w:rPr>
          <w:rFonts w:cs="Arial"/>
          <w:lang w:eastAsia="zh-CN"/>
        </w:rPr>
        <w:t xml:space="preserve"> to distinguish between legacy UEs and SBFD aware UEs based on the legacy </w:t>
      </w:r>
      <w:r w:rsidRPr="00ED627A">
        <w:t>RACH resources used by the UEs</w:t>
      </w:r>
      <w:r>
        <w:t>.</w:t>
      </w:r>
    </w:p>
    <w:bookmarkEnd w:id="2"/>
    <w:p w14:paraId="5E0C29B9" w14:textId="4BEC15A1" w:rsidR="00814F3B" w:rsidRDefault="00814F3B" w:rsidP="00A74523">
      <w:pPr>
        <w:jc w:val="both"/>
      </w:pPr>
    </w:p>
    <w:p w14:paraId="4FD25431" w14:textId="32ECDB80" w:rsidR="005D1245" w:rsidRDefault="001F579E" w:rsidP="005D1245">
      <w:pPr>
        <w:overflowPunct w:val="0"/>
        <w:autoSpaceDE w:val="0"/>
        <w:autoSpaceDN w:val="0"/>
        <w:adjustRightInd w:val="0"/>
        <w:spacing w:after="0"/>
        <w:jc w:val="both"/>
      </w:pPr>
      <w:r>
        <w:t xml:space="preserve">The question now is, given that early indication through preamble partitioning is not supported, the benefit of early indication via Msg3 for subsequent Msg5 scheduling is limited. The reduction in latency would be minimal, as the UE will ultimately </w:t>
      </w:r>
      <w:r w:rsidR="00E55D05">
        <w:t xml:space="preserve">report </w:t>
      </w:r>
      <w:r w:rsidR="000218E7">
        <w:t xml:space="preserve">the capability </w:t>
      </w:r>
      <w:r w:rsidR="005D1245" w:rsidRPr="00B97118">
        <w:t xml:space="preserve">to the </w:t>
      </w:r>
      <w:proofErr w:type="spellStart"/>
      <w:r w:rsidR="005D1245" w:rsidRPr="00B97118">
        <w:t>gNB</w:t>
      </w:r>
      <w:proofErr w:type="spellEnd"/>
      <w:r w:rsidR="005D1245" w:rsidRPr="00B97118">
        <w:t xml:space="preserve"> in Msg5.</w:t>
      </w:r>
    </w:p>
    <w:p w14:paraId="36DE8A8B" w14:textId="77777777" w:rsidR="001935EA" w:rsidRDefault="001935EA" w:rsidP="005D1245">
      <w:pPr>
        <w:overflowPunct w:val="0"/>
        <w:autoSpaceDE w:val="0"/>
        <w:autoSpaceDN w:val="0"/>
        <w:adjustRightInd w:val="0"/>
        <w:spacing w:after="0"/>
        <w:jc w:val="both"/>
      </w:pPr>
    </w:p>
    <w:p w14:paraId="72147BA5" w14:textId="48E5C457" w:rsidR="001935EA" w:rsidRDefault="001935EA" w:rsidP="005D1245">
      <w:pPr>
        <w:overflowPunct w:val="0"/>
        <w:autoSpaceDE w:val="0"/>
        <w:autoSpaceDN w:val="0"/>
        <w:adjustRightInd w:val="0"/>
        <w:spacing w:after="0"/>
        <w:jc w:val="both"/>
      </w:pPr>
      <w:r w:rsidRPr="001935EA">
        <w:rPr>
          <w:b/>
          <w:bCs/>
        </w:rPr>
        <w:t>Proposal 6</w:t>
      </w:r>
      <w:r>
        <w:t>: RAN2 to</w:t>
      </w:r>
      <w:r w:rsidR="008F6A2E">
        <w:t xml:space="preserve"> discuss</w:t>
      </w:r>
      <w:r>
        <w:t xml:space="preserve"> </w:t>
      </w:r>
      <w:r w:rsidR="008F6A2E">
        <w:t xml:space="preserve">the </w:t>
      </w:r>
      <w:r>
        <w:t>advantage of Msg-3 based early indication.</w:t>
      </w:r>
    </w:p>
    <w:p w14:paraId="694CEA62" w14:textId="77777777" w:rsidR="001935EA" w:rsidRPr="001E7833" w:rsidRDefault="001935EA" w:rsidP="001E7833">
      <w:pPr>
        <w:jc w:val="both"/>
        <w:rPr>
          <w:lang w:eastAsia="zh-CN"/>
        </w:rPr>
      </w:pPr>
    </w:p>
    <w:p w14:paraId="6EA00ACB" w14:textId="6D0133F8" w:rsidR="009B5327" w:rsidRDefault="009339CB" w:rsidP="00CE48F2">
      <w:pPr>
        <w:pStyle w:val="Heading1"/>
      </w:pPr>
      <w:r>
        <w:t>Conclusion</w:t>
      </w:r>
    </w:p>
    <w:p w14:paraId="6EFEA327" w14:textId="1CC931E7" w:rsidR="00AE52C1" w:rsidRPr="00626176" w:rsidRDefault="00AE52C1" w:rsidP="00CE48F2">
      <w:pPr>
        <w:jc w:val="both"/>
        <w:rPr>
          <w:lang w:eastAsia="zh-CN"/>
        </w:rPr>
      </w:pPr>
      <w:r>
        <w:rPr>
          <w:b/>
          <w:bCs/>
        </w:rPr>
        <w:t>Observation 1</w:t>
      </w:r>
      <w:r>
        <w:t xml:space="preserve">: For CBRA and CFRA, from the SBFD-aware UE perspective and to have better load balancing across different RACH </w:t>
      </w:r>
      <w:proofErr w:type="gramStart"/>
      <w:r>
        <w:t>resources,  SBFD</w:t>
      </w:r>
      <w:proofErr w:type="gramEnd"/>
      <w:r>
        <w:t xml:space="preserve"> ROs shall have higher priority than legacy (ROs). The priority between SBFD and legacy ROs can be based on the </w:t>
      </w:r>
      <w:r>
        <w:rPr>
          <w:lang w:eastAsia="zh-CN"/>
        </w:rPr>
        <w:t>UE’s coverage conditions.</w:t>
      </w:r>
    </w:p>
    <w:p w14:paraId="66CE4974" w14:textId="404635F4" w:rsidR="00CE48F2" w:rsidRDefault="00CE48F2" w:rsidP="00CE48F2">
      <w:pPr>
        <w:jc w:val="both"/>
      </w:pPr>
      <w:r>
        <w:rPr>
          <w:b/>
          <w:bCs/>
        </w:rPr>
        <w:t xml:space="preserve">Observation </w:t>
      </w:r>
      <w:r w:rsidR="00AE52C1">
        <w:rPr>
          <w:b/>
          <w:bCs/>
        </w:rPr>
        <w:t>2</w:t>
      </w:r>
      <w:r>
        <w:rPr>
          <w:b/>
          <w:bCs/>
        </w:rPr>
        <w:t xml:space="preserve">: </w:t>
      </w:r>
      <w:r w:rsidRPr="00B1198E">
        <w:t xml:space="preserve">In PRACH configuration Option 2, </w:t>
      </w:r>
      <w:r>
        <w:t xml:space="preserve">RA-RNTI collision happens when </w:t>
      </w:r>
      <w:r w:rsidRPr="00EB45A7">
        <w:t>the SBFD ROs</w:t>
      </w:r>
      <w:r>
        <w:t xml:space="preserve"> </w:t>
      </w:r>
      <w:r w:rsidRPr="00EB45A7">
        <w:t>configured by the additional configurations may overlap with the legacy ROs</w:t>
      </w:r>
      <w:r>
        <w:t xml:space="preserve"> in flexible symbols. </w:t>
      </w:r>
      <w:r w:rsidDel="00307E8D">
        <w:t xml:space="preserve"> </w:t>
      </w:r>
    </w:p>
    <w:p w14:paraId="711D411B" w14:textId="60909812" w:rsidR="00CE48F2" w:rsidRDefault="00CE48F2" w:rsidP="00CE48F2">
      <w:pPr>
        <w:jc w:val="both"/>
      </w:pPr>
      <w:r w:rsidRPr="00ED627A">
        <w:rPr>
          <w:rFonts w:cs="Arial"/>
          <w:b/>
          <w:bCs/>
          <w:lang w:eastAsia="zh-CN"/>
        </w:rPr>
        <w:t xml:space="preserve">Observation </w:t>
      </w:r>
      <w:r w:rsidR="00AE52C1">
        <w:rPr>
          <w:rFonts w:cs="Arial"/>
          <w:b/>
          <w:bCs/>
          <w:lang w:eastAsia="zh-CN"/>
        </w:rPr>
        <w:t>3</w:t>
      </w:r>
      <w:r>
        <w:rPr>
          <w:rFonts w:cs="Arial"/>
          <w:lang w:eastAsia="zh-CN"/>
        </w:rPr>
        <w:t xml:space="preserve">: It is not possible for the </w:t>
      </w:r>
      <w:proofErr w:type="spellStart"/>
      <w:r>
        <w:rPr>
          <w:rFonts w:cs="Arial"/>
          <w:lang w:eastAsia="zh-CN"/>
        </w:rPr>
        <w:t>gNB</w:t>
      </w:r>
      <w:proofErr w:type="spellEnd"/>
      <w:r>
        <w:rPr>
          <w:rFonts w:cs="Arial"/>
          <w:lang w:eastAsia="zh-CN"/>
        </w:rPr>
        <w:t xml:space="preserve"> to distinguish between legacy UEs and SBFD aware UEs based on the legacy </w:t>
      </w:r>
      <w:r w:rsidRPr="00ED627A">
        <w:t>RACH resources used by the UEs</w:t>
      </w:r>
      <w:r>
        <w:t>.</w:t>
      </w:r>
    </w:p>
    <w:p w14:paraId="39F37859" w14:textId="5B360D60" w:rsidR="00CE48F2" w:rsidRDefault="00CE48F2" w:rsidP="009B5327">
      <w:pPr>
        <w:jc w:val="both"/>
      </w:pPr>
      <w:r w:rsidRPr="00634D05">
        <w:rPr>
          <w:b/>
          <w:bCs/>
        </w:rPr>
        <w:t xml:space="preserve">Proposal </w:t>
      </w:r>
      <w:r>
        <w:rPr>
          <w:b/>
          <w:bCs/>
        </w:rPr>
        <w:t xml:space="preserve">1: </w:t>
      </w:r>
      <w:r>
        <w:t xml:space="preserve">For option </w:t>
      </w:r>
      <w:proofErr w:type="gramStart"/>
      <w:r>
        <w:t>1,  for</w:t>
      </w:r>
      <w:proofErr w:type="gramEnd"/>
      <w:r>
        <w:t xml:space="preserve"> ROs within SBFD symbols, </w:t>
      </w:r>
      <w:r w:rsidRPr="00DB5558">
        <w:rPr>
          <w:i/>
          <w:iCs/>
        </w:rPr>
        <w:t>msg1-FrequencyStart</w:t>
      </w:r>
      <w:r>
        <w:t xml:space="preserve"> indicates the offset of the first RO with respect to the start of the UL </w:t>
      </w:r>
      <w:proofErr w:type="spellStart"/>
      <w:r>
        <w:t>subband</w:t>
      </w:r>
      <w:proofErr w:type="spellEnd"/>
      <w:r>
        <w:t xml:space="preserve">, and </w:t>
      </w:r>
      <w:proofErr w:type="spellStart"/>
      <w:r>
        <w:t>FDMed</w:t>
      </w:r>
      <w:proofErr w:type="spellEnd"/>
      <w:r>
        <w:t xml:space="preserve"> ROs which falls outside the UL </w:t>
      </w:r>
      <w:proofErr w:type="spellStart"/>
      <w:r>
        <w:t>subband</w:t>
      </w:r>
      <w:proofErr w:type="spellEnd"/>
      <w:r>
        <w:t xml:space="preserve"> after applying offset  is considered as invalids ROs for SBFD UEs</w:t>
      </w:r>
    </w:p>
    <w:p w14:paraId="46CB031C" w14:textId="1BF8DC9B" w:rsidR="00260F66" w:rsidRDefault="00260F66">
      <w:pPr>
        <w:pStyle w:val="paragraph"/>
        <w:spacing w:before="0" w:beforeAutospacing="0" w:after="0" w:afterAutospacing="0"/>
        <w:jc w:val="both"/>
        <w:textAlignment w:val="baseline"/>
        <w:rPr>
          <w:rStyle w:val="eop"/>
          <w:sz w:val="20"/>
          <w:szCs w:val="20"/>
        </w:rPr>
      </w:pPr>
      <w:r w:rsidRPr="00ED627A">
        <w:rPr>
          <w:rStyle w:val="normaltextrun"/>
          <w:b/>
          <w:bCs/>
          <w:sz w:val="20"/>
          <w:szCs w:val="20"/>
        </w:rPr>
        <w:t xml:space="preserve">Proposal </w:t>
      </w:r>
      <w:r w:rsidRPr="00ED627A">
        <w:rPr>
          <w:rStyle w:val="normaltextrun"/>
          <w:b/>
          <w:bCs/>
          <w:color w:val="000000"/>
          <w:sz w:val="20"/>
          <w:szCs w:val="20"/>
          <w:shd w:val="clear" w:color="auto" w:fill="E1E3E6"/>
        </w:rPr>
        <w:t>2</w:t>
      </w:r>
      <w:r w:rsidR="001B504A">
        <w:rPr>
          <w:rStyle w:val="normaltextrun"/>
          <w:b/>
          <w:bCs/>
          <w:color w:val="000000"/>
          <w:sz w:val="20"/>
          <w:szCs w:val="20"/>
          <w:shd w:val="clear" w:color="auto" w:fill="E1E3E6"/>
        </w:rPr>
        <w:t>:</w:t>
      </w:r>
      <w:r>
        <w:rPr>
          <w:rStyle w:val="normaltextrun"/>
          <w:b/>
          <w:bCs/>
          <w:i/>
          <w:iCs/>
          <w:sz w:val="20"/>
          <w:szCs w:val="20"/>
        </w:rPr>
        <w:t xml:space="preserve"> </w:t>
      </w:r>
      <w:r w:rsidRPr="00ED627A">
        <w:rPr>
          <w:rStyle w:val="normaltextrun"/>
          <w:sz w:val="20"/>
          <w:szCs w:val="20"/>
        </w:rPr>
        <w:t>For Option 2, in case the legacy ROs and the additional ROs have the same value for one of the RACH configuration mandatory parameters. Only the legacy RACH configuration will be configured with this parameter.</w:t>
      </w:r>
      <w:r w:rsidRPr="00ED627A">
        <w:rPr>
          <w:rStyle w:val="eop"/>
          <w:sz w:val="20"/>
          <w:szCs w:val="20"/>
        </w:rPr>
        <w:t> </w:t>
      </w:r>
      <w:r w:rsidRPr="00ED627A">
        <w:rPr>
          <w:rFonts w:ascii="Segoe UI" w:hAnsi="Segoe UI" w:cs="Segoe UI"/>
          <w:sz w:val="18"/>
          <w:szCs w:val="18"/>
        </w:rPr>
        <w:t xml:space="preserve"> </w:t>
      </w:r>
      <w:r w:rsidRPr="00ED627A">
        <w:rPr>
          <w:rStyle w:val="normaltextrun"/>
          <w:sz w:val="20"/>
          <w:szCs w:val="20"/>
        </w:rPr>
        <w:t>For Option 2, in case the SBFD aware UEs did not receive a dedicated mandatory parameter in the additional RACH configuration, the SBFD-aware UEs determine this dedicated parameter from the legacy RACH configuration.</w:t>
      </w:r>
      <w:r w:rsidRPr="00ED627A">
        <w:rPr>
          <w:rStyle w:val="eop"/>
          <w:sz w:val="20"/>
          <w:szCs w:val="20"/>
        </w:rPr>
        <w:t> </w:t>
      </w:r>
    </w:p>
    <w:p w14:paraId="6777F391" w14:textId="77777777" w:rsidR="0099563D" w:rsidRPr="00626176" w:rsidRDefault="0099563D" w:rsidP="00626176">
      <w:pPr>
        <w:pStyle w:val="paragraph"/>
        <w:spacing w:before="0" w:beforeAutospacing="0" w:after="0" w:afterAutospacing="0"/>
        <w:jc w:val="both"/>
        <w:textAlignment w:val="baseline"/>
        <w:rPr>
          <w:rFonts w:ascii="Segoe UI" w:hAnsi="Segoe UI" w:cs="Segoe UI"/>
          <w:sz w:val="18"/>
          <w:szCs w:val="18"/>
        </w:rPr>
      </w:pPr>
    </w:p>
    <w:p w14:paraId="5473BC64" w14:textId="77777777" w:rsidR="00D76239" w:rsidRDefault="00D76239" w:rsidP="00D76239">
      <w:pPr>
        <w:jc w:val="both"/>
        <w:rPr>
          <w:lang w:val="en-US"/>
        </w:rPr>
      </w:pPr>
      <w:r>
        <w:rPr>
          <w:b/>
          <w:bCs/>
        </w:rPr>
        <w:t>P</w:t>
      </w:r>
      <w:r w:rsidRPr="00364B02">
        <w:rPr>
          <w:b/>
          <w:bCs/>
        </w:rPr>
        <w:t xml:space="preserve">roposal </w:t>
      </w:r>
      <w:r>
        <w:rPr>
          <w:b/>
          <w:bCs/>
        </w:rPr>
        <w:t>3</w:t>
      </w:r>
      <w:r>
        <w:t xml:space="preserve">: </w:t>
      </w:r>
      <w:r w:rsidRPr="00DB45F9">
        <w:rPr>
          <w:lang w:val="en-US"/>
        </w:rPr>
        <w:t>For RACH configuration Option 1 and Option 2, an SBFD aware UE selects RO type for Msg1 transmission based on UE’s coverage condition. Details are FFS.</w:t>
      </w:r>
    </w:p>
    <w:p w14:paraId="53603794" w14:textId="08F6715A" w:rsidR="00591D83" w:rsidRPr="00626176" w:rsidRDefault="00591D83" w:rsidP="00626176">
      <w:pPr>
        <w:overflowPunct w:val="0"/>
        <w:autoSpaceDE w:val="0"/>
        <w:autoSpaceDN w:val="0"/>
        <w:adjustRightInd w:val="0"/>
        <w:spacing w:before="240" w:after="240"/>
        <w:textAlignment w:val="baseline"/>
        <w:rPr>
          <w:rFonts w:eastAsia="SimSun"/>
          <w:b/>
          <w:bCs/>
          <w:i/>
          <w:lang w:val="en-US"/>
        </w:rPr>
      </w:pPr>
      <w:r w:rsidRPr="00ED627A">
        <w:rPr>
          <w:rFonts w:eastAsia="SimSun"/>
          <w:b/>
          <w:iCs/>
          <w:lang w:val="en-US"/>
        </w:rPr>
        <w:t>Proposal 4</w:t>
      </w:r>
      <w:r>
        <w:rPr>
          <w:rFonts w:eastAsia="SimSun"/>
          <w:b/>
          <w:i/>
          <w:lang w:val="en-US"/>
        </w:rPr>
        <w:t>:</w:t>
      </w:r>
      <w:r w:rsidRPr="00ED627A">
        <w:rPr>
          <w:rFonts w:eastAsia="SimSun"/>
          <w:bCs/>
          <w:iCs/>
          <w:lang w:val="en-US"/>
        </w:rPr>
        <w:t xml:space="preserve">  For Option 2, in case two RACH configurations with two different PRACH formats lengths, SBFD aware UEs selects the best PRACH format length configured by the legacy or the additional RACH configuration for the initial access based at least on SSB-RSRP threshold(s). Details FFS.</w:t>
      </w:r>
    </w:p>
    <w:p w14:paraId="6DF190FA" w14:textId="7A03A387" w:rsidR="00320B59" w:rsidRPr="001935EA" w:rsidRDefault="00320B59" w:rsidP="00320B59">
      <w:pPr>
        <w:jc w:val="both"/>
        <w:rPr>
          <w:color w:val="000000" w:themeColor="text1"/>
        </w:rPr>
      </w:pPr>
      <w:r w:rsidRPr="001935EA">
        <w:rPr>
          <w:b/>
          <w:bCs/>
          <w:color w:val="000000" w:themeColor="text1"/>
        </w:rPr>
        <w:t xml:space="preserve">Proposal </w:t>
      </w:r>
      <w:r w:rsidR="00591D83" w:rsidRPr="001935EA">
        <w:rPr>
          <w:b/>
          <w:bCs/>
          <w:color w:val="000000" w:themeColor="text1"/>
        </w:rPr>
        <w:t>5</w:t>
      </w:r>
      <w:r w:rsidRPr="001935EA">
        <w:rPr>
          <w:color w:val="000000" w:themeColor="text1"/>
        </w:rPr>
        <w:t>: When there is overlapping, the SBFD-aware UE determines the frequency index (</w:t>
      </w:r>
      <w:proofErr w:type="spellStart"/>
      <w:r w:rsidRPr="001935EA">
        <w:rPr>
          <w:color w:val="000000" w:themeColor="text1"/>
        </w:rPr>
        <w:t>f_id</w:t>
      </w:r>
      <w:proofErr w:type="spellEnd"/>
      <w:r w:rsidRPr="001935EA">
        <w:rPr>
          <w:color w:val="000000" w:themeColor="text1"/>
        </w:rPr>
        <w:t xml:space="preserve">) by: </w:t>
      </w:r>
    </w:p>
    <w:p w14:paraId="6753B137" w14:textId="77777777" w:rsidR="00320B59" w:rsidRPr="001935EA" w:rsidRDefault="00320B59" w:rsidP="00320B59">
      <w:pPr>
        <w:pStyle w:val="ListParagraph"/>
        <w:numPr>
          <w:ilvl w:val="0"/>
          <w:numId w:val="17"/>
        </w:numPr>
        <w:spacing w:after="0"/>
        <w:contextualSpacing w:val="0"/>
        <w:jc w:val="both"/>
        <w:rPr>
          <w:color w:val="000000" w:themeColor="text1"/>
        </w:rPr>
      </w:pPr>
      <w:r w:rsidRPr="001935EA">
        <w:rPr>
          <w:color w:val="000000" w:themeColor="text1"/>
        </w:rPr>
        <w:t>Firstly, determining the frequency index of the legacy ROs by ignoring the SBFD ROs (i.e., aiming at keeping the same legacy index for the legacy ROs).</w:t>
      </w:r>
    </w:p>
    <w:p w14:paraId="10C2887D" w14:textId="77777777" w:rsidR="00320B59" w:rsidRPr="001935EA" w:rsidRDefault="00320B59" w:rsidP="00320B59">
      <w:pPr>
        <w:pStyle w:val="ListParagraph"/>
        <w:numPr>
          <w:ilvl w:val="0"/>
          <w:numId w:val="17"/>
        </w:numPr>
        <w:spacing w:after="0"/>
        <w:contextualSpacing w:val="0"/>
        <w:jc w:val="both"/>
        <w:rPr>
          <w:color w:val="000000" w:themeColor="text1"/>
        </w:rPr>
      </w:pPr>
      <w:r w:rsidRPr="001935EA">
        <w:rPr>
          <w:color w:val="000000" w:themeColor="text1"/>
        </w:rPr>
        <w:t>Secondly, determining the frequency index of SBFD ROs by continuing the indexing starting from the index used for the last legacy RO plus one (and ignoring the legacy ROs).</w:t>
      </w:r>
    </w:p>
    <w:p w14:paraId="777861FA" w14:textId="77777777" w:rsidR="00320B59" w:rsidRPr="00AF0E7D" w:rsidRDefault="00320B59" w:rsidP="00CE48F2">
      <w:pPr>
        <w:pStyle w:val="ListParagraph"/>
        <w:spacing w:after="0"/>
        <w:contextualSpacing w:val="0"/>
        <w:jc w:val="both"/>
        <w:rPr>
          <w:color w:val="FF0000"/>
        </w:rPr>
      </w:pPr>
    </w:p>
    <w:p w14:paraId="750109CF" w14:textId="78FC997E" w:rsidR="00C222A8" w:rsidRDefault="00320B59" w:rsidP="002B74DB">
      <w:pPr>
        <w:jc w:val="both"/>
      </w:pPr>
      <w:r w:rsidRPr="00ED627A">
        <w:rPr>
          <w:b/>
          <w:bCs/>
        </w:rPr>
        <w:t xml:space="preserve">Proposal </w:t>
      </w:r>
      <w:r w:rsidR="00591D83">
        <w:rPr>
          <w:b/>
          <w:bCs/>
        </w:rPr>
        <w:t>6</w:t>
      </w:r>
      <w:r w:rsidRPr="00ED627A">
        <w:rPr>
          <w:b/>
          <w:bCs/>
        </w:rPr>
        <w:t>:</w:t>
      </w:r>
      <w:r>
        <w:t xml:space="preserve"> RAN2 to </w:t>
      </w:r>
      <w:r w:rsidR="008F6A2E">
        <w:t xml:space="preserve">discuss the </w:t>
      </w:r>
      <w:r>
        <w:t xml:space="preserve">advantage of </w:t>
      </w:r>
      <w:r w:rsidR="00260F66">
        <w:t xml:space="preserve"> </w:t>
      </w:r>
      <w:r>
        <w:t xml:space="preserve"> Msg-3 based early indication.</w:t>
      </w:r>
    </w:p>
    <w:sectPr w:rsidR="00C222A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D7151" w14:textId="77777777" w:rsidR="00590E3C" w:rsidRDefault="00590E3C">
      <w:r>
        <w:separator/>
      </w:r>
    </w:p>
  </w:endnote>
  <w:endnote w:type="continuationSeparator" w:id="0">
    <w:p w14:paraId="3197B911" w14:textId="77777777" w:rsidR="00590E3C" w:rsidRDefault="00590E3C">
      <w:r>
        <w:continuationSeparator/>
      </w:r>
    </w:p>
  </w:endnote>
  <w:endnote w:type="continuationNotice" w:id="1">
    <w:p w14:paraId="34816E7D" w14:textId="77777777" w:rsidR="00590E3C" w:rsidRDefault="00590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FAA3E" w14:textId="77777777" w:rsidR="00590E3C" w:rsidRDefault="00590E3C">
      <w:r>
        <w:separator/>
      </w:r>
    </w:p>
  </w:footnote>
  <w:footnote w:type="continuationSeparator" w:id="0">
    <w:p w14:paraId="5C9D8447" w14:textId="77777777" w:rsidR="00590E3C" w:rsidRDefault="00590E3C">
      <w:r>
        <w:continuationSeparator/>
      </w:r>
    </w:p>
  </w:footnote>
  <w:footnote w:type="continuationNotice" w:id="1">
    <w:p w14:paraId="6EFCF2C5" w14:textId="77777777" w:rsidR="00590E3C" w:rsidRDefault="00590E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2F281C"/>
    <w:multiLevelType w:val="multilevel"/>
    <w:tmpl w:val="F5EC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A203E2"/>
    <w:multiLevelType w:val="multilevel"/>
    <w:tmpl w:val="375C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DB2B02"/>
    <w:multiLevelType w:val="hybridMultilevel"/>
    <w:tmpl w:val="82880EC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77289"/>
    <w:multiLevelType w:val="multilevel"/>
    <w:tmpl w:val="61D0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897E64"/>
    <w:multiLevelType w:val="multilevel"/>
    <w:tmpl w:val="265854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C7B034C"/>
    <w:multiLevelType w:val="multilevel"/>
    <w:tmpl w:val="68E6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3C2FF1"/>
    <w:multiLevelType w:val="multilevel"/>
    <w:tmpl w:val="EE82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477190"/>
    <w:multiLevelType w:val="multilevel"/>
    <w:tmpl w:val="0266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133B2A"/>
    <w:multiLevelType w:val="hybridMultilevel"/>
    <w:tmpl w:val="04824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4061E8"/>
    <w:multiLevelType w:val="multilevel"/>
    <w:tmpl w:val="B6F8D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CE1F46"/>
    <w:multiLevelType w:val="hybridMultilevel"/>
    <w:tmpl w:val="CCD8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20FF0"/>
    <w:multiLevelType w:val="hybridMultilevel"/>
    <w:tmpl w:val="40E031CE"/>
    <w:lvl w:ilvl="0" w:tplc="301039D0">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5" w15:restartNumberingAfterBreak="0">
    <w:nsid w:val="6672751A"/>
    <w:multiLevelType w:val="hybridMultilevel"/>
    <w:tmpl w:val="840AD6DE"/>
    <w:lvl w:ilvl="0" w:tplc="8DB0FF26">
      <w:start w:val="1"/>
      <w:numFmt w:val="bullet"/>
      <w:lvlText w:val=""/>
      <w:lvlJc w:val="left"/>
      <w:pPr>
        <w:ind w:left="1840" w:hanging="360"/>
      </w:pPr>
      <w:rPr>
        <w:rFonts w:ascii="Symbol" w:hAnsi="Symbol"/>
      </w:rPr>
    </w:lvl>
    <w:lvl w:ilvl="1" w:tplc="E1FADB12">
      <w:start w:val="1"/>
      <w:numFmt w:val="bullet"/>
      <w:lvlText w:val=""/>
      <w:lvlJc w:val="left"/>
      <w:pPr>
        <w:ind w:left="1840" w:hanging="360"/>
      </w:pPr>
      <w:rPr>
        <w:rFonts w:ascii="Symbol" w:hAnsi="Symbol"/>
      </w:rPr>
    </w:lvl>
    <w:lvl w:ilvl="2" w:tplc="C274790A">
      <w:start w:val="1"/>
      <w:numFmt w:val="bullet"/>
      <w:lvlText w:val=""/>
      <w:lvlJc w:val="left"/>
      <w:pPr>
        <w:ind w:left="1840" w:hanging="360"/>
      </w:pPr>
      <w:rPr>
        <w:rFonts w:ascii="Symbol" w:hAnsi="Symbol"/>
      </w:rPr>
    </w:lvl>
    <w:lvl w:ilvl="3" w:tplc="DE16B30A">
      <w:start w:val="1"/>
      <w:numFmt w:val="bullet"/>
      <w:lvlText w:val=""/>
      <w:lvlJc w:val="left"/>
      <w:pPr>
        <w:ind w:left="1840" w:hanging="360"/>
      </w:pPr>
      <w:rPr>
        <w:rFonts w:ascii="Symbol" w:hAnsi="Symbol"/>
      </w:rPr>
    </w:lvl>
    <w:lvl w:ilvl="4" w:tplc="14928624">
      <w:start w:val="1"/>
      <w:numFmt w:val="bullet"/>
      <w:lvlText w:val=""/>
      <w:lvlJc w:val="left"/>
      <w:pPr>
        <w:ind w:left="1840" w:hanging="360"/>
      </w:pPr>
      <w:rPr>
        <w:rFonts w:ascii="Symbol" w:hAnsi="Symbol"/>
      </w:rPr>
    </w:lvl>
    <w:lvl w:ilvl="5" w:tplc="71DA2396">
      <w:start w:val="1"/>
      <w:numFmt w:val="bullet"/>
      <w:lvlText w:val=""/>
      <w:lvlJc w:val="left"/>
      <w:pPr>
        <w:ind w:left="1840" w:hanging="360"/>
      </w:pPr>
      <w:rPr>
        <w:rFonts w:ascii="Symbol" w:hAnsi="Symbol"/>
      </w:rPr>
    </w:lvl>
    <w:lvl w:ilvl="6" w:tplc="AB4AA1C0">
      <w:start w:val="1"/>
      <w:numFmt w:val="bullet"/>
      <w:lvlText w:val=""/>
      <w:lvlJc w:val="left"/>
      <w:pPr>
        <w:ind w:left="1840" w:hanging="360"/>
      </w:pPr>
      <w:rPr>
        <w:rFonts w:ascii="Symbol" w:hAnsi="Symbol"/>
      </w:rPr>
    </w:lvl>
    <w:lvl w:ilvl="7" w:tplc="E48C6608">
      <w:start w:val="1"/>
      <w:numFmt w:val="bullet"/>
      <w:lvlText w:val=""/>
      <w:lvlJc w:val="left"/>
      <w:pPr>
        <w:ind w:left="1840" w:hanging="360"/>
      </w:pPr>
      <w:rPr>
        <w:rFonts w:ascii="Symbol" w:hAnsi="Symbol"/>
      </w:rPr>
    </w:lvl>
    <w:lvl w:ilvl="8" w:tplc="CA2466C6">
      <w:start w:val="1"/>
      <w:numFmt w:val="bullet"/>
      <w:lvlText w:val=""/>
      <w:lvlJc w:val="left"/>
      <w:pPr>
        <w:ind w:left="1840" w:hanging="360"/>
      </w:pPr>
      <w:rPr>
        <w:rFonts w:ascii="Symbol" w:hAnsi="Symbol"/>
      </w:rPr>
    </w:lvl>
  </w:abstractNum>
  <w:abstractNum w:abstractNumId="26"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4537401"/>
    <w:multiLevelType w:val="multilevel"/>
    <w:tmpl w:val="3E7C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5F46A60"/>
    <w:multiLevelType w:val="multilevel"/>
    <w:tmpl w:val="8302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441387876">
    <w:abstractNumId w:val="16"/>
  </w:num>
  <w:num w:numId="12" w16cid:durableId="728530398">
    <w:abstractNumId w:val="14"/>
  </w:num>
  <w:num w:numId="13" w16cid:durableId="254167446">
    <w:abstractNumId w:val="10"/>
  </w:num>
  <w:num w:numId="14" w16cid:durableId="842622782">
    <w:abstractNumId w:val="26"/>
  </w:num>
  <w:num w:numId="15" w16cid:durableId="672220724">
    <w:abstractNumId w:val="24"/>
  </w:num>
  <w:num w:numId="16" w16cid:durableId="458887362">
    <w:abstractNumId w:val="25"/>
  </w:num>
  <w:num w:numId="17" w16cid:durableId="1370227559">
    <w:abstractNumId w:val="21"/>
  </w:num>
  <w:num w:numId="18" w16cid:durableId="655762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23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3610661">
    <w:abstractNumId w:val="12"/>
  </w:num>
  <w:num w:numId="21" w16cid:durableId="187723388">
    <w:abstractNumId w:val="17"/>
  </w:num>
  <w:num w:numId="22" w16cid:durableId="674498249">
    <w:abstractNumId w:val="20"/>
  </w:num>
  <w:num w:numId="23" w16cid:durableId="206449904">
    <w:abstractNumId w:val="27"/>
  </w:num>
  <w:num w:numId="24" w16cid:durableId="651300864">
    <w:abstractNumId w:val="22"/>
  </w:num>
  <w:num w:numId="25" w16cid:durableId="355815670">
    <w:abstractNumId w:val="28"/>
  </w:num>
  <w:num w:numId="26" w16cid:durableId="1159274161">
    <w:abstractNumId w:val="18"/>
  </w:num>
  <w:num w:numId="27" w16cid:durableId="752123388">
    <w:abstractNumId w:val="15"/>
  </w:num>
  <w:num w:numId="28" w16cid:durableId="661082716">
    <w:abstractNumId w:val="11"/>
  </w:num>
  <w:num w:numId="29" w16cid:durableId="316155459">
    <w:abstractNumId w:val="19"/>
  </w:num>
  <w:num w:numId="30" w16cid:durableId="206787859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1NzE0NDM2MbA0NTZU0lEKTi0uzszPAykwqwUAtepyxCwAAAA="/>
  </w:docVars>
  <w:rsids>
    <w:rsidRoot w:val="000B7BCF"/>
    <w:rsid w:val="00000FF3"/>
    <w:rsid w:val="00006C10"/>
    <w:rsid w:val="000114FA"/>
    <w:rsid w:val="00012D8F"/>
    <w:rsid w:val="00014561"/>
    <w:rsid w:val="0001557F"/>
    <w:rsid w:val="00015F1D"/>
    <w:rsid w:val="00016557"/>
    <w:rsid w:val="00017882"/>
    <w:rsid w:val="0002046D"/>
    <w:rsid w:val="000218E7"/>
    <w:rsid w:val="00021D4B"/>
    <w:rsid w:val="00023C40"/>
    <w:rsid w:val="00024FB9"/>
    <w:rsid w:val="0002507D"/>
    <w:rsid w:val="0002597D"/>
    <w:rsid w:val="00026520"/>
    <w:rsid w:val="00027457"/>
    <w:rsid w:val="00033397"/>
    <w:rsid w:val="00034F8C"/>
    <w:rsid w:val="00035C6B"/>
    <w:rsid w:val="000360CE"/>
    <w:rsid w:val="000364E6"/>
    <w:rsid w:val="00040095"/>
    <w:rsid w:val="0004598A"/>
    <w:rsid w:val="00045C3C"/>
    <w:rsid w:val="00061A07"/>
    <w:rsid w:val="00062F48"/>
    <w:rsid w:val="00065268"/>
    <w:rsid w:val="00066FFF"/>
    <w:rsid w:val="00067224"/>
    <w:rsid w:val="0007378C"/>
    <w:rsid w:val="00073C9C"/>
    <w:rsid w:val="00074858"/>
    <w:rsid w:val="00076412"/>
    <w:rsid w:val="000800AB"/>
    <w:rsid w:val="000800D1"/>
    <w:rsid w:val="00080512"/>
    <w:rsid w:val="00084EF2"/>
    <w:rsid w:val="00090468"/>
    <w:rsid w:val="00090E27"/>
    <w:rsid w:val="0009251E"/>
    <w:rsid w:val="0009376C"/>
    <w:rsid w:val="00094568"/>
    <w:rsid w:val="0009546C"/>
    <w:rsid w:val="0009645B"/>
    <w:rsid w:val="0009673D"/>
    <w:rsid w:val="000A2143"/>
    <w:rsid w:val="000A39B8"/>
    <w:rsid w:val="000A4C94"/>
    <w:rsid w:val="000A7059"/>
    <w:rsid w:val="000B0181"/>
    <w:rsid w:val="000B16CE"/>
    <w:rsid w:val="000B7BCF"/>
    <w:rsid w:val="000C0205"/>
    <w:rsid w:val="000C2909"/>
    <w:rsid w:val="000C4384"/>
    <w:rsid w:val="000C4DB2"/>
    <w:rsid w:val="000C522B"/>
    <w:rsid w:val="000D131E"/>
    <w:rsid w:val="000D2D50"/>
    <w:rsid w:val="000D3DFC"/>
    <w:rsid w:val="000D44F2"/>
    <w:rsid w:val="000D58AB"/>
    <w:rsid w:val="000E0F7B"/>
    <w:rsid w:val="000E2FED"/>
    <w:rsid w:val="000E3251"/>
    <w:rsid w:val="000E4A63"/>
    <w:rsid w:val="000E5936"/>
    <w:rsid w:val="000E683A"/>
    <w:rsid w:val="000F00EC"/>
    <w:rsid w:val="000F306C"/>
    <w:rsid w:val="000F446E"/>
    <w:rsid w:val="00100D43"/>
    <w:rsid w:val="00101A09"/>
    <w:rsid w:val="00101DC1"/>
    <w:rsid w:val="00101F69"/>
    <w:rsid w:val="00102719"/>
    <w:rsid w:val="00103887"/>
    <w:rsid w:val="00103C9A"/>
    <w:rsid w:val="00106D25"/>
    <w:rsid w:val="00112912"/>
    <w:rsid w:val="00112F1A"/>
    <w:rsid w:val="00114CD5"/>
    <w:rsid w:val="00114DD4"/>
    <w:rsid w:val="00115251"/>
    <w:rsid w:val="00122471"/>
    <w:rsid w:val="00122CC4"/>
    <w:rsid w:val="00123276"/>
    <w:rsid w:val="00125321"/>
    <w:rsid w:val="0012610D"/>
    <w:rsid w:val="001269AE"/>
    <w:rsid w:val="00127999"/>
    <w:rsid w:val="00127A2A"/>
    <w:rsid w:val="00132B5C"/>
    <w:rsid w:val="0013316F"/>
    <w:rsid w:val="00133D5C"/>
    <w:rsid w:val="00135F1E"/>
    <w:rsid w:val="00136065"/>
    <w:rsid w:val="0013654B"/>
    <w:rsid w:val="001435AA"/>
    <w:rsid w:val="00143B7F"/>
    <w:rsid w:val="00145075"/>
    <w:rsid w:val="00154C7A"/>
    <w:rsid w:val="001554DD"/>
    <w:rsid w:val="00155ACC"/>
    <w:rsid w:val="00161EC8"/>
    <w:rsid w:val="0016349C"/>
    <w:rsid w:val="00166A29"/>
    <w:rsid w:val="001719ED"/>
    <w:rsid w:val="001741A0"/>
    <w:rsid w:val="00175FA0"/>
    <w:rsid w:val="00182F0A"/>
    <w:rsid w:val="00184443"/>
    <w:rsid w:val="00184D22"/>
    <w:rsid w:val="0018542A"/>
    <w:rsid w:val="00185E06"/>
    <w:rsid w:val="00186E93"/>
    <w:rsid w:val="0018728C"/>
    <w:rsid w:val="00187785"/>
    <w:rsid w:val="00190D3A"/>
    <w:rsid w:val="00192284"/>
    <w:rsid w:val="001935EA"/>
    <w:rsid w:val="0019480A"/>
    <w:rsid w:val="00194CD0"/>
    <w:rsid w:val="001958BC"/>
    <w:rsid w:val="00197287"/>
    <w:rsid w:val="001A16AE"/>
    <w:rsid w:val="001A280C"/>
    <w:rsid w:val="001A36C1"/>
    <w:rsid w:val="001A56D0"/>
    <w:rsid w:val="001B1456"/>
    <w:rsid w:val="001B49C9"/>
    <w:rsid w:val="001B504A"/>
    <w:rsid w:val="001B667E"/>
    <w:rsid w:val="001C1A4F"/>
    <w:rsid w:val="001C2143"/>
    <w:rsid w:val="001C23F4"/>
    <w:rsid w:val="001C31FD"/>
    <w:rsid w:val="001C4F79"/>
    <w:rsid w:val="001D2253"/>
    <w:rsid w:val="001D45A0"/>
    <w:rsid w:val="001D5576"/>
    <w:rsid w:val="001E2254"/>
    <w:rsid w:val="001E483F"/>
    <w:rsid w:val="001E6E22"/>
    <w:rsid w:val="001E7364"/>
    <w:rsid w:val="001E7833"/>
    <w:rsid w:val="001F168B"/>
    <w:rsid w:val="001F3AD3"/>
    <w:rsid w:val="001F562E"/>
    <w:rsid w:val="001F579E"/>
    <w:rsid w:val="001F7365"/>
    <w:rsid w:val="001F7831"/>
    <w:rsid w:val="002026D2"/>
    <w:rsid w:val="00202979"/>
    <w:rsid w:val="00202B11"/>
    <w:rsid w:val="00204045"/>
    <w:rsid w:val="0020712B"/>
    <w:rsid w:val="0020728A"/>
    <w:rsid w:val="0021061A"/>
    <w:rsid w:val="00210AEF"/>
    <w:rsid w:val="0021466A"/>
    <w:rsid w:val="00221220"/>
    <w:rsid w:val="00222061"/>
    <w:rsid w:val="00222FCA"/>
    <w:rsid w:val="002239D1"/>
    <w:rsid w:val="00223C18"/>
    <w:rsid w:val="00224342"/>
    <w:rsid w:val="0022606D"/>
    <w:rsid w:val="00227B19"/>
    <w:rsid w:val="00227FAF"/>
    <w:rsid w:val="00231728"/>
    <w:rsid w:val="0023454C"/>
    <w:rsid w:val="002363AA"/>
    <w:rsid w:val="00237A7E"/>
    <w:rsid w:val="00240EE6"/>
    <w:rsid w:val="0024499E"/>
    <w:rsid w:val="00244A05"/>
    <w:rsid w:val="00250404"/>
    <w:rsid w:val="00254049"/>
    <w:rsid w:val="00256B74"/>
    <w:rsid w:val="00256BDD"/>
    <w:rsid w:val="00257688"/>
    <w:rsid w:val="00260F66"/>
    <w:rsid w:val="002610D8"/>
    <w:rsid w:val="00266082"/>
    <w:rsid w:val="00266584"/>
    <w:rsid w:val="002678E8"/>
    <w:rsid w:val="00267A12"/>
    <w:rsid w:val="00270BEA"/>
    <w:rsid w:val="00271F18"/>
    <w:rsid w:val="00273ECF"/>
    <w:rsid w:val="002747EC"/>
    <w:rsid w:val="00274B7A"/>
    <w:rsid w:val="00275BFB"/>
    <w:rsid w:val="00283D2A"/>
    <w:rsid w:val="002855BF"/>
    <w:rsid w:val="00287408"/>
    <w:rsid w:val="00290A7C"/>
    <w:rsid w:val="00294863"/>
    <w:rsid w:val="002966A0"/>
    <w:rsid w:val="002A5A87"/>
    <w:rsid w:val="002A74D3"/>
    <w:rsid w:val="002A74D5"/>
    <w:rsid w:val="002A7A9B"/>
    <w:rsid w:val="002B25BE"/>
    <w:rsid w:val="002B2988"/>
    <w:rsid w:val="002B41D8"/>
    <w:rsid w:val="002B63BB"/>
    <w:rsid w:val="002B6A3D"/>
    <w:rsid w:val="002B74DB"/>
    <w:rsid w:val="002C600C"/>
    <w:rsid w:val="002C7415"/>
    <w:rsid w:val="002D1B1A"/>
    <w:rsid w:val="002D66BF"/>
    <w:rsid w:val="002E0E83"/>
    <w:rsid w:val="002E1149"/>
    <w:rsid w:val="002E4789"/>
    <w:rsid w:val="002E51C2"/>
    <w:rsid w:val="002E7241"/>
    <w:rsid w:val="002F0D22"/>
    <w:rsid w:val="002F3D30"/>
    <w:rsid w:val="002F4F9C"/>
    <w:rsid w:val="002F5165"/>
    <w:rsid w:val="002F628C"/>
    <w:rsid w:val="002F6A57"/>
    <w:rsid w:val="002F6DBA"/>
    <w:rsid w:val="0030433B"/>
    <w:rsid w:val="003065EF"/>
    <w:rsid w:val="00307E8D"/>
    <w:rsid w:val="003115C7"/>
    <w:rsid w:val="00311B17"/>
    <w:rsid w:val="00314BA2"/>
    <w:rsid w:val="00314CA7"/>
    <w:rsid w:val="00315491"/>
    <w:rsid w:val="003172DC"/>
    <w:rsid w:val="00320B59"/>
    <w:rsid w:val="003230A2"/>
    <w:rsid w:val="00325AE3"/>
    <w:rsid w:val="00326069"/>
    <w:rsid w:val="003264EE"/>
    <w:rsid w:val="00337748"/>
    <w:rsid w:val="0033797A"/>
    <w:rsid w:val="00341998"/>
    <w:rsid w:val="0034460E"/>
    <w:rsid w:val="003465E2"/>
    <w:rsid w:val="00351F9A"/>
    <w:rsid w:val="0035236B"/>
    <w:rsid w:val="00352B99"/>
    <w:rsid w:val="00352C38"/>
    <w:rsid w:val="0035462D"/>
    <w:rsid w:val="00354A92"/>
    <w:rsid w:val="00356BED"/>
    <w:rsid w:val="0036084F"/>
    <w:rsid w:val="003632FC"/>
    <w:rsid w:val="0036459E"/>
    <w:rsid w:val="00364988"/>
    <w:rsid w:val="00364B41"/>
    <w:rsid w:val="0036534D"/>
    <w:rsid w:val="00365354"/>
    <w:rsid w:val="00370629"/>
    <w:rsid w:val="003759F0"/>
    <w:rsid w:val="00381D36"/>
    <w:rsid w:val="00383096"/>
    <w:rsid w:val="0038793D"/>
    <w:rsid w:val="00390FF2"/>
    <w:rsid w:val="0039346C"/>
    <w:rsid w:val="003936EB"/>
    <w:rsid w:val="00394327"/>
    <w:rsid w:val="00394494"/>
    <w:rsid w:val="00394FF3"/>
    <w:rsid w:val="00396DFA"/>
    <w:rsid w:val="00397332"/>
    <w:rsid w:val="0039753A"/>
    <w:rsid w:val="003A0261"/>
    <w:rsid w:val="003A3F9F"/>
    <w:rsid w:val="003A41EF"/>
    <w:rsid w:val="003A4ED8"/>
    <w:rsid w:val="003A790B"/>
    <w:rsid w:val="003B351B"/>
    <w:rsid w:val="003B40AD"/>
    <w:rsid w:val="003B5697"/>
    <w:rsid w:val="003B56BB"/>
    <w:rsid w:val="003B5755"/>
    <w:rsid w:val="003C0035"/>
    <w:rsid w:val="003C27D2"/>
    <w:rsid w:val="003C3819"/>
    <w:rsid w:val="003C41CB"/>
    <w:rsid w:val="003C4E37"/>
    <w:rsid w:val="003D0FD0"/>
    <w:rsid w:val="003D2574"/>
    <w:rsid w:val="003D6B42"/>
    <w:rsid w:val="003D7235"/>
    <w:rsid w:val="003E0E7B"/>
    <w:rsid w:val="003E16BE"/>
    <w:rsid w:val="003E1EB5"/>
    <w:rsid w:val="003E2425"/>
    <w:rsid w:val="003E39F7"/>
    <w:rsid w:val="003E550F"/>
    <w:rsid w:val="003E64B9"/>
    <w:rsid w:val="003F014C"/>
    <w:rsid w:val="003F4E28"/>
    <w:rsid w:val="003F76B6"/>
    <w:rsid w:val="004006E8"/>
    <w:rsid w:val="00401855"/>
    <w:rsid w:val="00405D93"/>
    <w:rsid w:val="004070EB"/>
    <w:rsid w:val="00413707"/>
    <w:rsid w:val="00414456"/>
    <w:rsid w:val="00422C1E"/>
    <w:rsid w:val="00423F31"/>
    <w:rsid w:val="004246B7"/>
    <w:rsid w:val="00425F94"/>
    <w:rsid w:val="00426A69"/>
    <w:rsid w:val="00430072"/>
    <w:rsid w:val="004325EF"/>
    <w:rsid w:val="00434A8E"/>
    <w:rsid w:val="0043512A"/>
    <w:rsid w:val="00441691"/>
    <w:rsid w:val="00444BD3"/>
    <w:rsid w:val="00445E39"/>
    <w:rsid w:val="00446C3A"/>
    <w:rsid w:val="00457399"/>
    <w:rsid w:val="004574FC"/>
    <w:rsid w:val="004614BE"/>
    <w:rsid w:val="00462344"/>
    <w:rsid w:val="00463B62"/>
    <w:rsid w:val="00465587"/>
    <w:rsid w:val="0046650D"/>
    <w:rsid w:val="00470A84"/>
    <w:rsid w:val="00474211"/>
    <w:rsid w:val="00474C20"/>
    <w:rsid w:val="00476D69"/>
    <w:rsid w:val="00477455"/>
    <w:rsid w:val="00482AFE"/>
    <w:rsid w:val="00483D9A"/>
    <w:rsid w:val="0048436D"/>
    <w:rsid w:val="00485761"/>
    <w:rsid w:val="00485E4E"/>
    <w:rsid w:val="00492CAF"/>
    <w:rsid w:val="0049360F"/>
    <w:rsid w:val="00494725"/>
    <w:rsid w:val="004A1F7B"/>
    <w:rsid w:val="004A2262"/>
    <w:rsid w:val="004A4C02"/>
    <w:rsid w:val="004A5A26"/>
    <w:rsid w:val="004B1C6C"/>
    <w:rsid w:val="004B2D7A"/>
    <w:rsid w:val="004B5A83"/>
    <w:rsid w:val="004B6225"/>
    <w:rsid w:val="004B7366"/>
    <w:rsid w:val="004B73AF"/>
    <w:rsid w:val="004C1838"/>
    <w:rsid w:val="004C44D2"/>
    <w:rsid w:val="004D0C1A"/>
    <w:rsid w:val="004D3578"/>
    <w:rsid w:val="004D380D"/>
    <w:rsid w:val="004D42A3"/>
    <w:rsid w:val="004D5A7B"/>
    <w:rsid w:val="004D74C5"/>
    <w:rsid w:val="004D77AA"/>
    <w:rsid w:val="004E1ABA"/>
    <w:rsid w:val="004E213A"/>
    <w:rsid w:val="004E3413"/>
    <w:rsid w:val="004E3A5B"/>
    <w:rsid w:val="004E6CE0"/>
    <w:rsid w:val="004E7553"/>
    <w:rsid w:val="004E7B73"/>
    <w:rsid w:val="004F01BB"/>
    <w:rsid w:val="004F234E"/>
    <w:rsid w:val="004F4540"/>
    <w:rsid w:val="004F458F"/>
    <w:rsid w:val="004F6117"/>
    <w:rsid w:val="004F69BD"/>
    <w:rsid w:val="004F6CE0"/>
    <w:rsid w:val="004F6EB9"/>
    <w:rsid w:val="004F73A7"/>
    <w:rsid w:val="004F7517"/>
    <w:rsid w:val="00500DFC"/>
    <w:rsid w:val="00503171"/>
    <w:rsid w:val="005063E1"/>
    <w:rsid w:val="00506C28"/>
    <w:rsid w:val="005101EA"/>
    <w:rsid w:val="00510E17"/>
    <w:rsid w:val="0051252B"/>
    <w:rsid w:val="0051560A"/>
    <w:rsid w:val="005224AB"/>
    <w:rsid w:val="0052301B"/>
    <w:rsid w:val="0052367A"/>
    <w:rsid w:val="00524605"/>
    <w:rsid w:val="005266D0"/>
    <w:rsid w:val="0052716B"/>
    <w:rsid w:val="005272F9"/>
    <w:rsid w:val="0052745C"/>
    <w:rsid w:val="00530FC9"/>
    <w:rsid w:val="00534DA0"/>
    <w:rsid w:val="00537809"/>
    <w:rsid w:val="00540F40"/>
    <w:rsid w:val="005422E6"/>
    <w:rsid w:val="005432D9"/>
    <w:rsid w:val="00543661"/>
    <w:rsid w:val="00543885"/>
    <w:rsid w:val="00543E6C"/>
    <w:rsid w:val="00550B56"/>
    <w:rsid w:val="00560869"/>
    <w:rsid w:val="00560C16"/>
    <w:rsid w:val="00561E40"/>
    <w:rsid w:val="00565087"/>
    <w:rsid w:val="0056573F"/>
    <w:rsid w:val="00570B52"/>
    <w:rsid w:val="00571279"/>
    <w:rsid w:val="0057260D"/>
    <w:rsid w:val="00573250"/>
    <w:rsid w:val="005756A2"/>
    <w:rsid w:val="00575FC5"/>
    <w:rsid w:val="00576816"/>
    <w:rsid w:val="00590B60"/>
    <w:rsid w:val="00590E3C"/>
    <w:rsid w:val="00591D83"/>
    <w:rsid w:val="00592732"/>
    <w:rsid w:val="00592B8A"/>
    <w:rsid w:val="005944C8"/>
    <w:rsid w:val="00597476"/>
    <w:rsid w:val="005A13AB"/>
    <w:rsid w:val="005A49C6"/>
    <w:rsid w:val="005B0624"/>
    <w:rsid w:val="005B19FB"/>
    <w:rsid w:val="005B2FDF"/>
    <w:rsid w:val="005B30E9"/>
    <w:rsid w:val="005B5BCA"/>
    <w:rsid w:val="005B5F02"/>
    <w:rsid w:val="005C083C"/>
    <w:rsid w:val="005C0BD7"/>
    <w:rsid w:val="005C5296"/>
    <w:rsid w:val="005C5DD5"/>
    <w:rsid w:val="005C766E"/>
    <w:rsid w:val="005C7CD5"/>
    <w:rsid w:val="005D1245"/>
    <w:rsid w:val="005D4943"/>
    <w:rsid w:val="005D64B9"/>
    <w:rsid w:val="005E0B47"/>
    <w:rsid w:val="005E4735"/>
    <w:rsid w:val="005E4C5A"/>
    <w:rsid w:val="005E5B59"/>
    <w:rsid w:val="005E60ED"/>
    <w:rsid w:val="005F031B"/>
    <w:rsid w:val="005F225A"/>
    <w:rsid w:val="005F3560"/>
    <w:rsid w:val="00600D1F"/>
    <w:rsid w:val="00601991"/>
    <w:rsid w:val="00601BBA"/>
    <w:rsid w:val="00601D13"/>
    <w:rsid w:val="00605857"/>
    <w:rsid w:val="00611566"/>
    <w:rsid w:val="00614170"/>
    <w:rsid w:val="00614702"/>
    <w:rsid w:val="00617BC7"/>
    <w:rsid w:val="00621154"/>
    <w:rsid w:val="00626176"/>
    <w:rsid w:val="00626562"/>
    <w:rsid w:val="00627F8B"/>
    <w:rsid w:val="00630913"/>
    <w:rsid w:val="00633D56"/>
    <w:rsid w:val="0063501E"/>
    <w:rsid w:val="00636E0F"/>
    <w:rsid w:val="0064100B"/>
    <w:rsid w:val="006436D8"/>
    <w:rsid w:val="00646363"/>
    <w:rsid w:val="00646D99"/>
    <w:rsid w:val="006475C8"/>
    <w:rsid w:val="00647C99"/>
    <w:rsid w:val="00654761"/>
    <w:rsid w:val="00654B34"/>
    <w:rsid w:val="006550EF"/>
    <w:rsid w:val="00656910"/>
    <w:rsid w:val="006574C0"/>
    <w:rsid w:val="006576FE"/>
    <w:rsid w:val="00661F5D"/>
    <w:rsid w:val="00662E22"/>
    <w:rsid w:val="00663D07"/>
    <w:rsid w:val="00665023"/>
    <w:rsid w:val="00670B9D"/>
    <w:rsid w:val="006719BA"/>
    <w:rsid w:val="00672294"/>
    <w:rsid w:val="006751C7"/>
    <w:rsid w:val="0068131E"/>
    <w:rsid w:val="00687471"/>
    <w:rsid w:val="00690017"/>
    <w:rsid w:val="00692BE8"/>
    <w:rsid w:val="00695296"/>
    <w:rsid w:val="00696821"/>
    <w:rsid w:val="0069741C"/>
    <w:rsid w:val="00697750"/>
    <w:rsid w:val="006A1E76"/>
    <w:rsid w:val="006A4F67"/>
    <w:rsid w:val="006A5D74"/>
    <w:rsid w:val="006B4459"/>
    <w:rsid w:val="006B4F8B"/>
    <w:rsid w:val="006B4FBD"/>
    <w:rsid w:val="006B7EC8"/>
    <w:rsid w:val="006C01BF"/>
    <w:rsid w:val="006C2785"/>
    <w:rsid w:val="006C34EB"/>
    <w:rsid w:val="006C4860"/>
    <w:rsid w:val="006C5AAB"/>
    <w:rsid w:val="006C66D8"/>
    <w:rsid w:val="006D00D8"/>
    <w:rsid w:val="006D1E24"/>
    <w:rsid w:val="006D2127"/>
    <w:rsid w:val="006D2678"/>
    <w:rsid w:val="006D314C"/>
    <w:rsid w:val="006D35DE"/>
    <w:rsid w:val="006D3695"/>
    <w:rsid w:val="006D5589"/>
    <w:rsid w:val="006D5E19"/>
    <w:rsid w:val="006E1057"/>
    <w:rsid w:val="006E1417"/>
    <w:rsid w:val="006E394D"/>
    <w:rsid w:val="006F08F9"/>
    <w:rsid w:val="006F1E4D"/>
    <w:rsid w:val="006F61CB"/>
    <w:rsid w:val="006F6A2C"/>
    <w:rsid w:val="006F6A4B"/>
    <w:rsid w:val="006F6FE3"/>
    <w:rsid w:val="007048E5"/>
    <w:rsid w:val="007069DC"/>
    <w:rsid w:val="00710201"/>
    <w:rsid w:val="007112BC"/>
    <w:rsid w:val="0072073A"/>
    <w:rsid w:val="00720BA6"/>
    <w:rsid w:val="00722BA3"/>
    <w:rsid w:val="00722E9C"/>
    <w:rsid w:val="00723B23"/>
    <w:rsid w:val="0072731B"/>
    <w:rsid w:val="00730524"/>
    <w:rsid w:val="007334DB"/>
    <w:rsid w:val="00733ED1"/>
    <w:rsid w:val="007342B5"/>
    <w:rsid w:val="00734840"/>
    <w:rsid w:val="00734A5B"/>
    <w:rsid w:val="00735A42"/>
    <w:rsid w:val="00737397"/>
    <w:rsid w:val="00737AD4"/>
    <w:rsid w:val="0074074F"/>
    <w:rsid w:val="00742A71"/>
    <w:rsid w:val="00743DCD"/>
    <w:rsid w:val="00744B92"/>
    <w:rsid w:val="00744E76"/>
    <w:rsid w:val="00754A27"/>
    <w:rsid w:val="0075570A"/>
    <w:rsid w:val="00756146"/>
    <w:rsid w:val="00757D40"/>
    <w:rsid w:val="00762F39"/>
    <w:rsid w:val="007662B5"/>
    <w:rsid w:val="0077244D"/>
    <w:rsid w:val="00772C51"/>
    <w:rsid w:val="00773B1C"/>
    <w:rsid w:val="00781073"/>
    <w:rsid w:val="00781A67"/>
    <w:rsid w:val="00781F0F"/>
    <w:rsid w:val="00784568"/>
    <w:rsid w:val="0078507A"/>
    <w:rsid w:val="007863ED"/>
    <w:rsid w:val="0078727C"/>
    <w:rsid w:val="0079049D"/>
    <w:rsid w:val="00790CFF"/>
    <w:rsid w:val="00790D63"/>
    <w:rsid w:val="00793DC5"/>
    <w:rsid w:val="00796692"/>
    <w:rsid w:val="00796823"/>
    <w:rsid w:val="007A2E55"/>
    <w:rsid w:val="007A4792"/>
    <w:rsid w:val="007B15F7"/>
    <w:rsid w:val="007B18D8"/>
    <w:rsid w:val="007C095F"/>
    <w:rsid w:val="007C13C1"/>
    <w:rsid w:val="007C2DD0"/>
    <w:rsid w:val="007C2DFA"/>
    <w:rsid w:val="007C3FC2"/>
    <w:rsid w:val="007C64A0"/>
    <w:rsid w:val="007C7AAC"/>
    <w:rsid w:val="007D1E15"/>
    <w:rsid w:val="007D3F7D"/>
    <w:rsid w:val="007D4AAB"/>
    <w:rsid w:val="007D4E38"/>
    <w:rsid w:val="007E05C9"/>
    <w:rsid w:val="007E07DD"/>
    <w:rsid w:val="007E13F0"/>
    <w:rsid w:val="007E47C4"/>
    <w:rsid w:val="007E4ED2"/>
    <w:rsid w:val="007E728E"/>
    <w:rsid w:val="007F1FC3"/>
    <w:rsid w:val="007F2E08"/>
    <w:rsid w:val="007F3B7F"/>
    <w:rsid w:val="007F4D07"/>
    <w:rsid w:val="007F6262"/>
    <w:rsid w:val="007F74D9"/>
    <w:rsid w:val="008008C0"/>
    <w:rsid w:val="00800ADD"/>
    <w:rsid w:val="008024FA"/>
    <w:rsid w:val="008028A4"/>
    <w:rsid w:val="00805D3C"/>
    <w:rsid w:val="008075E0"/>
    <w:rsid w:val="00807739"/>
    <w:rsid w:val="008121BB"/>
    <w:rsid w:val="00813245"/>
    <w:rsid w:val="00814F3B"/>
    <w:rsid w:val="00824847"/>
    <w:rsid w:val="0082553C"/>
    <w:rsid w:val="00831549"/>
    <w:rsid w:val="008358AD"/>
    <w:rsid w:val="0083691F"/>
    <w:rsid w:val="00840DE0"/>
    <w:rsid w:val="00841843"/>
    <w:rsid w:val="00843387"/>
    <w:rsid w:val="008436BE"/>
    <w:rsid w:val="008467D5"/>
    <w:rsid w:val="00847CD0"/>
    <w:rsid w:val="00847ED7"/>
    <w:rsid w:val="00852B0F"/>
    <w:rsid w:val="00853514"/>
    <w:rsid w:val="00855C91"/>
    <w:rsid w:val="0085716E"/>
    <w:rsid w:val="008607A8"/>
    <w:rsid w:val="00862390"/>
    <w:rsid w:val="0086354A"/>
    <w:rsid w:val="00864207"/>
    <w:rsid w:val="00865A55"/>
    <w:rsid w:val="00867513"/>
    <w:rsid w:val="008704E4"/>
    <w:rsid w:val="008708F9"/>
    <w:rsid w:val="00872900"/>
    <w:rsid w:val="00874214"/>
    <w:rsid w:val="008747EE"/>
    <w:rsid w:val="008768CA"/>
    <w:rsid w:val="00876DD4"/>
    <w:rsid w:val="00877EF9"/>
    <w:rsid w:val="00880559"/>
    <w:rsid w:val="008809BE"/>
    <w:rsid w:val="0088288F"/>
    <w:rsid w:val="00882B63"/>
    <w:rsid w:val="00883F11"/>
    <w:rsid w:val="0088683E"/>
    <w:rsid w:val="00890A28"/>
    <w:rsid w:val="00892F57"/>
    <w:rsid w:val="008A055D"/>
    <w:rsid w:val="008A3330"/>
    <w:rsid w:val="008A3F52"/>
    <w:rsid w:val="008A42D7"/>
    <w:rsid w:val="008B1733"/>
    <w:rsid w:val="008B3F6A"/>
    <w:rsid w:val="008B5306"/>
    <w:rsid w:val="008B5362"/>
    <w:rsid w:val="008B54E8"/>
    <w:rsid w:val="008B683E"/>
    <w:rsid w:val="008B7448"/>
    <w:rsid w:val="008C24FA"/>
    <w:rsid w:val="008C2E2A"/>
    <w:rsid w:val="008C2F4B"/>
    <w:rsid w:val="008C3057"/>
    <w:rsid w:val="008C3FD4"/>
    <w:rsid w:val="008C550D"/>
    <w:rsid w:val="008D1867"/>
    <w:rsid w:val="008D2E4D"/>
    <w:rsid w:val="008D5914"/>
    <w:rsid w:val="008D5C75"/>
    <w:rsid w:val="008E01CB"/>
    <w:rsid w:val="008E4B91"/>
    <w:rsid w:val="008E4CC5"/>
    <w:rsid w:val="008E53FC"/>
    <w:rsid w:val="008E672E"/>
    <w:rsid w:val="008E7164"/>
    <w:rsid w:val="008F1EB2"/>
    <w:rsid w:val="008F2927"/>
    <w:rsid w:val="008F396F"/>
    <w:rsid w:val="008F3DCD"/>
    <w:rsid w:val="008F5369"/>
    <w:rsid w:val="008F66EB"/>
    <w:rsid w:val="008F6889"/>
    <w:rsid w:val="008F6A2E"/>
    <w:rsid w:val="008F7709"/>
    <w:rsid w:val="008F7DAB"/>
    <w:rsid w:val="0090072C"/>
    <w:rsid w:val="00901C51"/>
    <w:rsid w:val="0090271F"/>
    <w:rsid w:val="00902DB9"/>
    <w:rsid w:val="0090466A"/>
    <w:rsid w:val="00905E5A"/>
    <w:rsid w:val="0090635C"/>
    <w:rsid w:val="0090719D"/>
    <w:rsid w:val="0091318F"/>
    <w:rsid w:val="00920C05"/>
    <w:rsid w:val="00923655"/>
    <w:rsid w:val="00923B2E"/>
    <w:rsid w:val="00923C66"/>
    <w:rsid w:val="009248C6"/>
    <w:rsid w:val="0092536A"/>
    <w:rsid w:val="009266B5"/>
    <w:rsid w:val="009308FF"/>
    <w:rsid w:val="00931004"/>
    <w:rsid w:val="009339CB"/>
    <w:rsid w:val="00934B83"/>
    <w:rsid w:val="00934BE3"/>
    <w:rsid w:val="00935742"/>
    <w:rsid w:val="00936071"/>
    <w:rsid w:val="009365C4"/>
    <w:rsid w:val="00936E78"/>
    <w:rsid w:val="009376CD"/>
    <w:rsid w:val="00940212"/>
    <w:rsid w:val="00942EC2"/>
    <w:rsid w:val="009441C6"/>
    <w:rsid w:val="0094761D"/>
    <w:rsid w:val="0094790C"/>
    <w:rsid w:val="00950C02"/>
    <w:rsid w:val="00950DD4"/>
    <w:rsid w:val="00951CD7"/>
    <w:rsid w:val="00955412"/>
    <w:rsid w:val="00956EC2"/>
    <w:rsid w:val="00961B32"/>
    <w:rsid w:val="00962509"/>
    <w:rsid w:val="00964B19"/>
    <w:rsid w:val="00965A02"/>
    <w:rsid w:val="00966FB7"/>
    <w:rsid w:val="00970DB3"/>
    <w:rsid w:val="00974BB0"/>
    <w:rsid w:val="009753DA"/>
    <w:rsid w:val="00975BCD"/>
    <w:rsid w:val="00976443"/>
    <w:rsid w:val="009764CF"/>
    <w:rsid w:val="00977A9D"/>
    <w:rsid w:val="009818A2"/>
    <w:rsid w:val="009928A9"/>
    <w:rsid w:val="009950B9"/>
    <w:rsid w:val="0099563D"/>
    <w:rsid w:val="009970FE"/>
    <w:rsid w:val="009A0AF3"/>
    <w:rsid w:val="009A409B"/>
    <w:rsid w:val="009A5DD5"/>
    <w:rsid w:val="009A6B10"/>
    <w:rsid w:val="009B07CD"/>
    <w:rsid w:val="009B126E"/>
    <w:rsid w:val="009B1BF3"/>
    <w:rsid w:val="009B5327"/>
    <w:rsid w:val="009B5B08"/>
    <w:rsid w:val="009B5CC8"/>
    <w:rsid w:val="009C19E9"/>
    <w:rsid w:val="009C46C8"/>
    <w:rsid w:val="009C570C"/>
    <w:rsid w:val="009C5DBC"/>
    <w:rsid w:val="009D4003"/>
    <w:rsid w:val="009D6355"/>
    <w:rsid w:val="009D74A6"/>
    <w:rsid w:val="009E0E87"/>
    <w:rsid w:val="009E637C"/>
    <w:rsid w:val="009F4BF1"/>
    <w:rsid w:val="009F7EF7"/>
    <w:rsid w:val="00A0612D"/>
    <w:rsid w:val="00A1027E"/>
    <w:rsid w:val="00A103CA"/>
    <w:rsid w:val="00A105FE"/>
    <w:rsid w:val="00A10883"/>
    <w:rsid w:val="00A10F02"/>
    <w:rsid w:val="00A13B25"/>
    <w:rsid w:val="00A14FBC"/>
    <w:rsid w:val="00A152CE"/>
    <w:rsid w:val="00A16E70"/>
    <w:rsid w:val="00A1702C"/>
    <w:rsid w:val="00A17176"/>
    <w:rsid w:val="00A204CA"/>
    <w:rsid w:val="00A209D6"/>
    <w:rsid w:val="00A22738"/>
    <w:rsid w:val="00A2340F"/>
    <w:rsid w:val="00A23CF5"/>
    <w:rsid w:val="00A320DA"/>
    <w:rsid w:val="00A32814"/>
    <w:rsid w:val="00A35625"/>
    <w:rsid w:val="00A36F5F"/>
    <w:rsid w:val="00A40AFB"/>
    <w:rsid w:val="00A430EC"/>
    <w:rsid w:val="00A4516A"/>
    <w:rsid w:val="00A4597A"/>
    <w:rsid w:val="00A51B34"/>
    <w:rsid w:val="00A53724"/>
    <w:rsid w:val="00A54B2B"/>
    <w:rsid w:val="00A56D0B"/>
    <w:rsid w:val="00A646AC"/>
    <w:rsid w:val="00A703B6"/>
    <w:rsid w:val="00A72D42"/>
    <w:rsid w:val="00A74523"/>
    <w:rsid w:val="00A75685"/>
    <w:rsid w:val="00A76B2A"/>
    <w:rsid w:val="00A76BF2"/>
    <w:rsid w:val="00A82346"/>
    <w:rsid w:val="00A8356E"/>
    <w:rsid w:val="00A837D3"/>
    <w:rsid w:val="00A864BE"/>
    <w:rsid w:val="00A87C77"/>
    <w:rsid w:val="00A9093F"/>
    <w:rsid w:val="00A9095D"/>
    <w:rsid w:val="00A909AC"/>
    <w:rsid w:val="00A92D51"/>
    <w:rsid w:val="00A930D8"/>
    <w:rsid w:val="00A93A65"/>
    <w:rsid w:val="00A9671C"/>
    <w:rsid w:val="00A976E5"/>
    <w:rsid w:val="00AA105C"/>
    <w:rsid w:val="00AA1553"/>
    <w:rsid w:val="00AA3116"/>
    <w:rsid w:val="00AA49A3"/>
    <w:rsid w:val="00AA53DD"/>
    <w:rsid w:val="00AB022D"/>
    <w:rsid w:val="00AB0D4F"/>
    <w:rsid w:val="00AB293F"/>
    <w:rsid w:val="00AB5DA1"/>
    <w:rsid w:val="00AB7F32"/>
    <w:rsid w:val="00AC14AC"/>
    <w:rsid w:val="00AC36F6"/>
    <w:rsid w:val="00AC7C0E"/>
    <w:rsid w:val="00AD076E"/>
    <w:rsid w:val="00AD12F3"/>
    <w:rsid w:val="00AD1769"/>
    <w:rsid w:val="00AD7E7C"/>
    <w:rsid w:val="00AE164B"/>
    <w:rsid w:val="00AE52C1"/>
    <w:rsid w:val="00AE5EB6"/>
    <w:rsid w:val="00AF122D"/>
    <w:rsid w:val="00AF3E70"/>
    <w:rsid w:val="00AF47E8"/>
    <w:rsid w:val="00B011B7"/>
    <w:rsid w:val="00B01E8B"/>
    <w:rsid w:val="00B02501"/>
    <w:rsid w:val="00B050F2"/>
    <w:rsid w:val="00B05380"/>
    <w:rsid w:val="00B05962"/>
    <w:rsid w:val="00B05CA0"/>
    <w:rsid w:val="00B073E8"/>
    <w:rsid w:val="00B10E98"/>
    <w:rsid w:val="00B1198E"/>
    <w:rsid w:val="00B145AA"/>
    <w:rsid w:val="00B15449"/>
    <w:rsid w:val="00B1628D"/>
    <w:rsid w:val="00B16C2F"/>
    <w:rsid w:val="00B16D06"/>
    <w:rsid w:val="00B16ED4"/>
    <w:rsid w:val="00B214C0"/>
    <w:rsid w:val="00B2200B"/>
    <w:rsid w:val="00B267DA"/>
    <w:rsid w:val="00B27303"/>
    <w:rsid w:val="00B31A37"/>
    <w:rsid w:val="00B31B75"/>
    <w:rsid w:val="00B32218"/>
    <w:rsid w:val="00B35297"/>
    <w:rsid w:val="00B40EE2"/>
    <w:rsid w:val="00B41EB6"/>
    <w:rsid w:val="00B47FD1"/>
    <w:rsid w:val="00B505D6"/>
    <w:rsid w:val="00B516BB"/>
    <w:rsid w:val="00B52518"/>
    <w:rsid w:val="00B529BE"/>
    <w:rsid w:val="00B5751D"/>
    <w:rsid w:val="00B6043D"/>
    <w:rsid w:val="00B60EA5"/>
    <w:rsid w:val="00B64170"/>
    <w:rsid w:val="00B669E9"/>
    <w:rsid w:val="00B6709E"/>
    <w:rsid w:val="00B67B4C"/>
    <w:rsid w:val="00B711D5"/>
    <w:rsid w:val="00B73FD0"/>
    <w:rsid w:val="00B74444"/>
    <w:rsid w:val="00B7538C"/>
    <w:rsid w:val="00B76DF0"/>
    <w:rsid w:val="00B76F57"/>
    <w:rsid w:val="00B779C5"/>
    <w:rsid w:val="00B80E16"/>
    <w:rsid w:val="00B80EBA"/>
    <w:rsid w:val="00B83B67"/>
    <w:rsid w:val="00B84DB2"/>
    <w:rsid w:val="00B86D6D"/>
    <w:rsid w:val="00B87F13"/>
    <w:rsid w:val="00B9185C"/>
    <w:rsid w:val="00B96477"/>
    <w:rsid w:val="00B97118"/>
    <w:rsid w:val="00B97BF1"/>
    <w:rsid w:val="00BA19B9"/>
    <w:rsid w:val="00BA1B35"/>
    <w:rsid w:val="00BA275E"/>
    <w:rsid w:val="00BA71C7"/>
    <w:rsid w:val="00BB09C6"/>
    <w:rsid w:val="00BB2844"/>
    <w:rsid w:val="00BB2D72"/>
    <w:rsid w:val="00BC18F8"/>
    <w:rsid w:val="00BC3555"/>
    <w:rsid w:val="00BC393C"/>
    <w:rsid w:val="00BC3CD2"/>
    <w:rsid w:val="00BC5461"/>
    <w:rsid w:val="00BC63F5"/>
    <w:rsid w:val="00BD17B2"/>
    <w:rsid w:val="00BD2688"/>
    <w:rsid w:val="00BD2E30"/>
    <w:rsid w:val="00BD6B13"/>
    <w:rsid w:val="00BE03E5"/>
    <w:rsid w:val="00BE0A68"/>
    <w:rsid w:val="00BE5D2C"/>
    <w:rsid w:val="00BF2BBD"/>
    <w:rsid w:val="00BF2CC5"/>
    <w:rsid w:val="00BF4334"/>
    <w:rsid w:val="00BF5199"/>
    <w:rsid w:val="00C04346"/>
    <w:rsid w:val="00C04892"/>
    <w:rsid w:val="00C11CE4"/>
    <w:rsid w:val="00C12B51"/>
    <w:rsid w:val="00C21B98"/>
    <w:rsid w:val="00C222A8"/>
    <w:rsid w:val="00C24650"/>
    <w:rsid w:val="00C25465"/>
    <w:rsid w:val="00C31806"/>
    <w:rsid w:val="00C31BEA"/>
    <w:rsid w:val="00C33079"/>
    <w:rsid w:val="00C34A38"/>
    <w:rsid w:val="00C378FD"/>
    <w:rsid w:val="00C414ED"/>
    <w:rsid w:val="00C42A17"/>
    <w:rsid w:val="00C42B67"/>
    <w:rsid w:val="00C4389C"/>
    <w:rsid w:val="00C43FDD"/>
    <w:rsid w:val="00C44A2A"/>
    <w:rsid w:val="00C508EB"/>
    <w:rsid w:val="00C514D5"/>
    <w:rsid w:val="00C55A12"/>
    <w:rsid w:val="00C55F27"/>
    <w:rsid w:val="00C5678E"/>
    <w:rsid w:val="00C57900"/>
    <w:rsid w:val="00C61D71"/>
    <w:rsid w:val="00C6553E"/>
    <w:rsid w:val="00C71CE5"/>
    <w:rsid w:val="00C74FC8"/>
    <w:rsid w:val="00C763D4"/>
    <w:rsid w:val="00C83A13"/>
    <w:rsid w:val="00C83C17"/>
    <w:rsid w:val="00C85003"/>
    <w:rsid w:val="00C86A74"/>
    <w:rsid w:val="00C86F10"/>
    <w:rsid w:val="00C87FB4"/>
    <w:rsid w:val="00C9068C"/>
    <w:rsid w:val="00C91BFC"/>
    <w:rsid w:val="00C91D96"/>
    <w:rsid w:val="00C92967"/>
    <w:rsid w:val="00C92D4E"/>
    <w:rsid w:val="00CA3477"/>
    <w:rsid w:val="00CA34E6"/>
    <w:rsid w:val="00CA3D0C"/>
    <w:rsid w:val="00CA4E0C"/>
    <w:rsid w:val="00CA50AC"/>
    <w:rsid w:val="00CA654B"/>
    <w:rsid w:val="00CB062A"/>
    <w:rsid w:val="00CB179D"/>
    <w:rsid w:val="00CB63C5"/>
    <w:rsid w:val="00CB682E"/>
    <w:rsid w:val="00CB72B8"/>
    <w:rsid w:val="00CC0B27"/>
    <w:rsid w:val="00CC5DEF"/>
    <w:rsid w:val="00CC644A"/>
    <w:rsid w:val="00CD033B"/>
    <w:rsid w:val="00CD0BA8"/>
    <w:rsid w:val="00CD1E88"/>
    <w:rsid w:val="00CD2AE7"/>
    <w:rsid w:val="00CD39D1"/>
    <w:rsid w:val="00CD4C7B"/>
    <w:rsid w:val="00CD5865"/>
    <w:rsid w:val="00CD58FE"/>
    <w:rsid w:val="00CE48F2"/>
    <w:rsid w:val="00D01028"/>
    <w:rsid w:val="00D0371F"/>
    <w:rsid w:val="00D04B4F"/>
    <w:rsid w:val="00D10693"/>
    <w:rsid w:val="00D1564B"/>
    <w:rsid w:val="00D157A7"/>
    <w:rsid w:val="00D300FF"/>
    <w:rsid w:val="00D312BE"/>
    <w:rsid w:val="00D32BB8"/>
    <w:rsid w:val="00D33BE3"/>
    <w:rsid w:val="00D340AD"/>
    <w:rsid w:val="00D3792D"/>
    <w:rsid w:val="00D40AE8"/>
    <w:rsid w:val="00D40FB2"/>
    <w:rsid w:val="00D43958"/>
    <w:rsid w:val="00D45972"/>
    <w:rsid w:val="00D521C7"/>
    <w:rsid w:val="00D54727"/>
    <w:rsid w:val="00D54820"/>
    <w:rsid w:val="00D55E47"/>
    <w:rsid w:val="00D61755"/>
    <w:rsid w:val="00D62520"/>
    <w:rsid w:val="00D62E19"/>
    <w:rsid w:val="00D645BF"/>
    <w:rsid w:val="00D6460B"/>
    <w:rsid w:val="00D64F6B"/>
    <w:rsid w:val="00D65D7F"/>
    <w:rsid w:val="00D67CD1"/>
    <w:rsid w:val="00D70CBB"/>
    <w:rsid w:val="00D71D7D"/>
    <w:rsid w:val="00D738D6"/>
    <w:rsid w:val="00D740D2"/>
    <w:rsid w:val="00D74C3C"/>
    <w:rsid w:val="00D76239"/>
    <w:rsid w:val="00D7665F"/>
    <w:rsid w:val="00D80795"/>
    <w:rsid w:val="00D81983"/>
    <w:rsid w:val="00D84A0B"/>
    <w:rsid w:val="00D854BE"/>
    <w:rsid w:val="00D87E00"/>
    <w:rsid w:val="00D9134D"/>
    <w:rsid w:val="00D96D11"/>
    <w:rsid w:val="00DA1ABB"/>
    <w:rsid w:val="00DA4EFA"/>
    <w:rsid w:val="00DA7A03"/>
    <w:rsid w:val="00DB0DB8"/>
    <w:rsid w:val="00DB1232"/>
    <w:rsid w:val="00DB1818"/>
    <w:rsid w:val="00DB2B67"/>
    <w:rsid w:val="00DB56AA"/>
    <w:rsid w:val="00DB5ECE"/>
    <w:rsid w:val="00DB6454"/>
    <w:rsid w:val="00DB72B1"/>
    <w:rsid w:val="00DC2632"/>
    <w:rsid w:val="00DC309B"/>
    <w:rsid w:val="00DC4DA2"/>
    <w:rsid w:val="00DC5261"/>
    <w:rsid w:val="00DD4BAC"/>
    <w:rsid w:val="00DE0126"/>
    <w:rsid w:val="00DE0B09"/>
    <w:rsid w:val="00DE25D2"/>
    <w:rsid w:val="00DE3FB9"/>
    <w:rsid w:val="00DE4B70"/>
    <w:rsid w:val="00DE60FA"/>
    <w:rsid w:val="00DE627B"/>
    <w:rsid w:val="00DF0428"/>
    <w:rsid w:val="00DF7C20"/>
    <w:rsid w:val="00E038FB"/>
    <w:rsid w:val="00E04638"/>
    <w:rsid w:val="00E0530E"/>
    <w:rsid w:val="00E1499D"/>
    <w:rsid w:val="00E2080D"/>
    <w:rsid w:val="00E22715"/>
    <w:rsid w:val="00E25E6B"/>
    <w:rsid w:val="00E26CD4"/>
    <w:rsid w:val="00E2764B"/>
    <w:rsid w:val="00E309D7"/>
    <w:rsid w:val="00E327A2"/>
    <w:rsid w:val="00E32BFA"/>
    <w:rsid w:val="00E34AF4"/>
    <w:rsid w:val="00E36F29"/>
    <w:rsid w:val="00E42529"/>
    <w:rsid w:val="00E42597"/>
    <w:rsid w:val="00E4337F"/>
    <w:rsid w:val="00E439F1"/>
    <w:rsid w:val="00E4509A"/>
    <w:rsid w:val="00E46C08"/>
    <w:rsid w:val="00E471CF"/>
    <w:rsid w:val="00E501A1"/>
    <w:rsid w:val="00E53D9B"/>
    <w:rsid w:val="00E53E54"/>
    <w:rsid w:val="00E55038"/>
    <w:rsid w:val="00E55D05"/>
    <w:rsid w:val="00E56607"/>
    <w:rsid w:val="00E569CE"/>
    <w:rsid w:val="00E6049C"/>
    <w:rsid w:val="00E6099E"/>
    <w:rsid w:val="00E62835"/>
    <w:rsid w:val="00E6480E"/>
    <w:rsid w:val="00E66B44"/>
    <w:rsid w:val="00E70D5C"/>
    <w:rsid w:val="00E75FD3"/>
    <w:rsid w:val="00E76576"/>
    <w:rsid w:val="00E77645"/>
    <w:rsid w:val="00E83697"/>
    <w:rsid w:val="00E84C86"/>
    <w:rsid w:val="00E85329"/>
    <w:rsid w:val="00E859B6"/>
    <w:rsid w:val="00E85AD4"/>
    <w:rsid w:val="00E90DCE"/>
    <w:rsid w:val="00E916CA"/>
    <w:rsid w:val="00E92A94"/>
    <w:rsid w:val="00E93651"/>
    <w:rsid w:val="00EA1995"/>
    <w:rsid w:val="00EA66C9"/>
    <w:rsid w:val="00EA745F"/>
    <w:rsid w:val="00EB12C0"/>
    <w:rsid w:val="00EB1486"/>
    <w:rsid w:val="00EB3077"/>
    <w:rsid w:val="00EB35CE"/>
    <w:rsid w:val="00EB5D32"/>
    <w:rsid w:val="00EB7462"/>
    <w:rsid w:val="00EC2141"/>
    <w:rsid w:val="00EC4A25"/>
    <w:rsid w:val="00EC4F53"/>
    <w:rsid w:val="00ED4F7F"/>
    <w:rsid w:val="00EE485C"/>
    <w:rsid w:val="00EE5824"/>
    <w:rsid w:val="00EE585D"/>
    <w:rsid w:val="00EE6E5F"/>
    <w:rsid w:val="00EF18D8"/>
    <w:rsid w:val="00EF3565"/>
    <w:rsid w:val="00EF3882"/>
    <w:rsid w:val="00EF612C"/>
    <w:rsid w:val="00EF772D"/>
    <w:rsid w:val="00EF7B79"/>
    <w:rsid w:val="00F0001B"/>
    <w:rsid w:val="00F00132"/>
    <w:rsid w:val="00F025A2"/>
    <w:rsid w:val="00F036E9"/>
    <w:rsid w:val="00F04FF8"/>
    <w:rsid w:val="00F05FEE"/>
    <w:rsid w:val="00F07196"/>
    <w:rsid w:val="00F07388"/>
    <w:rsid w:val="00F11295"/>
    <w:rsid w:val="00F123D6"/>
    <w:rsid w:val="00F14973"/>
    <w:rsid w:val="00F16F0C"/>
    <w:rsid w:val="00F173BC"/>
    <w:rsid w:val="00F2026E"/>
    <w:rsid w:val="00F20B46"/>
    <w:rsid w:val="00F21645"/>
    <w:rsid w:val="00F2210A"/>
    <w:rsid w:val="00F22555"/>
    <w:rsid w:val="00F240D9"/>
    <w:rsid w:val="00F2453B"/>
    <w:rsid w:val="00F24991"/>
    <w:rsid w:val="00F25818"/>
    <w:rsid w:val="00F2643D"/>
    <w:rsid w:val="00F275F4"/>
    <w:rsid w:val="00F27AF0"/>
    <w:rsid w:val="00F31372"/>
    <w:rsid w:val="00F3224A"/>
    <w:rsid w:val="00F3388B"/>
    <w:rsid w:val="00F35E26"/>
    <w:rsid w:val="00F37743"/>
    <w:rsid w:val="00F40B49"/>
    <w:rsid w:val="00F40C2F"/>
    <w:rsid w:val="00F42493"/>
    <w:rsid w:val="00F440FC"/>
    <w:rsid w:val="00F44806"/>
    <w:rsid w:val="00F47195"/>
    <w:rsid w:val="00F51C45"/>
    <w:rsid w:val="00F534E0"/>
    <w:rsid w:val="00F54A3D"/>
    <w:rsid w:val="00F54CB0"/>
    <w:rsid w:val="00F54EE8"/>
    <w:rsid w:val="00F558F8"/>
    <w:rsid w:val="00F56C65"/>
    <w:rsid w:val="00F579CD"/>
    <w:rsid w:val="00F61C27"/>
    <w:rsid w:val="00F61C2C"/>
    <w:rsid w:val="00F62A25"/>
    <w:rsid w:val="00F6339D"/>
    <w:rsid w:val="00F64F13"/>
    <w:rsid w:val="00F653B8"/>
    <w:rsid w:val="00F713C8"/>
    <w:rsid w:val="00F714E4"/>
    <w:rsid w:val="00F71B89"/>
    <w:rsid w:val="00F7353C"/>
    <w:rsid w:val="00F75371"/>
    <w:rsid w:val="00F755C5"/>
    <w:rsid w:val="00F76A29"/>
    <w:rsid w:val="00F76F8F"/>
    <w:rsid w:val="00F82128"/>
    <w:rsid w:val="00F86A5B"/>
    <w:rsid w:val="00F87048"/>
    <w:rsid w:val="00F87257"/>
    <w:rsid w:val="00F876CC"/>
    <w:rsid w:val="00F9009C"/>
    <w:rsid w:val="00F90493"/>
    <w:rsid w:val="00F91556"/>
    <w:rsid w:val="00F941DF"/>
    <w:rsid w:val="00F9783A"/>
    <w:rsid w:val="00FA1266"/>
    <w:rsid w:val="00FA20C1"/>
    <w:rsid w:val="00FA540B"/>
    <w:rsid w:val="00FA67CD"/>
    <w:rsid w:val="00FA7BEE"/>
    <w:rsid w:val="00FB36FA"/>
    <w:rsid w:val="00FB4676"/>
    <w:rsid w:val="00FC1192"/>
    <w:rsid w:val="00FC132B"/>
    <w:rsid w:val="00FC307B"/>
    <w:rsid w:val="00FD00DF"/>
    <w:rsid w:val="00FD2D25"/>
    <w:rsid w:val="00FD2D51"/>
    <w:rsid w:val="00FD38AA"/>
    <w:rsid w:val="00FD3F98"/>
    <w:rsid w:val="00FE0BE8"/>
    <w:rsid w:val="00FE106D"/>
    <w:rsid w:val="00FE19F4"/>
    <w:rsid w:val="00FE251B"/>
    <w:rsid w:val="00FE2DF7"/>
    <w:rsid w:val="00FE5132"/>
    <w:rsid w:val="00FE656B"/>
    <w:rsid w:val="00FF115B"/>
    <w:rsid w:val="00FF394C"/>
    <w:rsid w:val="00FF663C"/>
    <w:rsid w:val="0B834357"/>
    <w:rsid w:val="581798BA"/>
    <w:rsid w:val="5A15FA66"/>
    <w:rsid w:val="66449AED"/>
    <w:rsid w:val="7105A955"/>
    <w:rsid w:val="71115D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D7363EA-681F-4AE0-AC09-D78B45AF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312BE"/>
    <w:pPr>
      <w:spacing w:after="180"/>
    </w:pPr>
    <w:rPr>
      <w:lang w:eastAsia="en-US"/>
    </w:rPr>
  </w:style>
  <w:style w:type="paragraph" w:styleId="Heading1">
    <w:name w:val="heading 1"/>
    <w:next w:val="Normal"/>
    <w:link w:val="Heading1Char"/>
    <w:qFormat/>
    <w:pPr>
      <w:keepNext/>
      <w:keepLines/>
      <w:numPr>
        <w:numId w:val="1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E2271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22715"/>
    <w:rPr>
      <w:lang w:eastAsia="en-US"/>
    </w:rPr>
  </w:style>
  <w:style w:type="character" w:customStyle="1" w:styleId="Heading1Char">
    <w:name w:val="Heading 1 Char"/>
    <w:basedOn w:val="DefaultParagraphFont"/>
    <w:link w:val="Heading1"/>
    <w:rsid w:val="00600D1F"/>
    <w:rPr>
      <w:rFonts w:ascii="Arial" w:hAnsi="Arial"/>
      <w:sz w:val="36"/>
      <w:lang w:eastAsia="en-US"/>
    </w:rPr>
  </w:style>
  <w:style w:type="character" w:customStyle="1" w:styleId="Heading2Char">
    <w:name w:val="Heading 2 Char"/>
    <w:basedOn w:val="DefaultParagraphFont"/>
    <w:link w:val="Heading2"/>
    <w:rsid w:val="001D45A0"/>
    <w:rPr>
      <w:rFonts w:ascii="Arial" w:hAnsi="Arial"/>
      <w:sz w:val="32"/>
      <w:lang w:eastAsia="en-US"/>
    </w:rPr>
  </w:style>
  <w:style w:type="character" w:styleId="CommentReference">
    <w:name w:val="annotation reference"/>
    <w:basedOn w:val="DefaultParagraphFont"/>
    <w:rsid w:val="00FB4676"/>
    <w:rPr>
      <w:sz w:val="16"/>
      <w:szCs w:val="16"/>
    </w:rPr>
  </w:style>
  <w:style w:type="character" w:styleId="FollowedHyperlink">
    <w:name w:val="FollowedHyperlink"/>
    <w:basedOn w:val="DefaultParagraphFont"/>
    <w:rsid w:val="0009673D"/>
    <w:rPr>
      <w:color w:val="954F72" w:themeColor="followedHyperlink"/>
      <w:u w:val="single"/>
    </w:rPr>
  </w:style>
  <w:style w:type="paragraph" w:customStyle="1" w:styleId="paragraph">
    <w:name w:val="paragraph"/>
    <w:basedOn w:val="Normal"/>
    <w:rsid w:val="0009673D"/>
    <w:pPr>
      <w:spacing w:before="100" w:beforeAutospacing="1" w:after="100" w:afterAutospacing="1"/>
    </w:pPr>
    <w:rPr>
      <w:sz w:val="24"/>
      <w:szCs w:val="24"/>
      <w:lang w:val="en-US"/>
    </w:rPr>
  </w:style>
  <w:style w:type="character" w:customStyle="1" w:styleId="normaltextrun">
    <w:name w:val="normaltextrun"/>
    <w:basedOn w:val="DefaultParagraphFont"/>
    <w:rsid w:val="0009673D"/>
  </w:style>
  <w:style w:type="character" w:customStyle="1" w:styleId="eop">
    <w:name w:val="eop"/>
    <w:basedOn w:val="DefaultParagraphFont"/>
    <w:rsid w:val="0009673D"/>
  </w:style>
  <w:style w:type="paragraph" w:styleId="Revision">
    <w:name w:val="Revision"/>
    <w:hidden/>
    <w:uiPriority w:val="99"/>
    <w:semiHidden/>
    <w:rsid w:val="004A5A26"/>
    <w:rPr>
      <w:lang w:eastAsia="en-US"/>
    </w:rPr>
  </w:style>
  <w:style w:type="character" w:customStyle="1" w:styleId="tabchar">
    <w:name w:val="tabchar"/>
    <w:basedOn w:val="DefaultParagraphFont"/>
    <w:rsid w:val="00934B83"/>
  </w:style>
  <w:style w:type="character" w:styleId="Mention">
    <w:name w:val="Mention"/>
    <w:basedOn w:val="DefaultParagraphFont"/>
    <w:uiPriority w:val="99"/>
    <w:unhideWhenUsed/>
    <w:rsid w:val="00155ACC"/>
    <w:rPr>
      <w:color w:val="2B579A"/>
      <w:shd w:val="clear" w:color="auto" w:fill="E1DFDD"/>
    </w:rPr>
  </w:style>
  <w:style w:type="character" w:customStyle="1" w:styleId="Heading3Char">
    <w:name w:val="Heading 3 Char"/>
    <w:basedOn w:val="DefaultParagraphFont"/>
    <w:link w:val="Heading3"/>
    <w:rsid w:val="00492CAF"/>
    <w:rPr>
      <w:rFonts w:ascii="Arial" w:hAnsi="Arial"/>
      <w:sz w:val="28"/>
      <w:lang w:eastAsia="en-US"/>
    </w:rPr>
  </w:style>
  <w:style w:type="paragraph" w:customStyle="1" w:styleId="Agreement">
    <w:name w:val="Agreement"/>
    <w:basedOn w:val="Normal"/>
    <w:next w:val="Normal"/>
    <w:uiPriority w:val="99"/>
    <w:qFormat/>
    <w:rsid w:val="00A13B25"/>
    <w:pPr>
      <w:numPr>
        <w:numId w:val="14"/>
      </w:numPr>
      <w:spacing w:before="60" w:after="0"/>
    </w:pPr>
    <w:rPr>
      <w:rFonts w:ascii="Arial" w:eastAsia="MS Mincho" w:hAnsi="Arial"/>
      <w:b/>
      <w:szCs w:val="24"/>
      <w:lang w:eastAsia="en-GB"/>
    </w:rPr>
  </w:style>
  <w:style w:type="paragraph" w:customStyle="1" w:styleId="Observation">
    <w:name w:val="Observation"/>
    <w:basedOn w:val="Normal"/>
    <w:qFormat/>
    <w:rsid w:val="00425F94"/>
    <w:pPr>
      <w:numPr>
        <w:numId w:val="18"/>
      </w:numPr>
      <w:tabs>
        <w:tab w:val="left" w:pos="1701"/>
      </w:tabs>
      <w:overflowPunct w:val="0"/>
      <w:autoSpaceDE w:val="0"/>
      <w:autoSpaceDN w:val="0"/>
      <w:adjustRightInd w:val="0"/>
      <w:spacing w:after="120"/>
      <w:jc w:val="both"/>
    </w:pPr>
    <w:rPr>
      <w:rFonts w:ascii="Arial" w:eastAsia="SimSu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91063">
      <w:bodyDiv w:val="1"/>
      <w:marLeft w:val="0"/>
      <w:marRight w:val="0"/>
      <w:marTop w:val="0"/>
      <w:marBottom w:val="0"/>
      <w:divBdr>
        <w:top w:val="none" w:sz="0" w:space="0" w:color="auto"/>
        <w:left w:val="none" w:sz="0" w:space="0" w:color="auto"/>
        <w:bottom w:val="none" w:sz="0" w:space="0" w:color="auto"/>
        <w:right w:val="none" w:sz="0" w:space="0" w:color="auto"/>
      </w:divBdr>
      <w:divsChild>
        <w:div w:id="86315540">
          <w:marLeft w:val="0"/>
          <w:marRight w:val="0"/>
          <w:marTop w:val="0"/>
          <w:marBottom w:val="0"/>
          <w:divBdr>
            <w:top w:val="none" w:sz="0" w:space="0" w:color="auto"/>
            <w:left w:val="none" w:sz="0" w:space="0" w:color="auto"/>
            <w:bottom w:val="none" w:sz="0" w:space="0" w:color="auto"/>
            <w:right w:val="none" w:sz="0" w:space="0" w:color="auto"/>
          </w:divBdr>
          <w:divsChild>
            <w:div w:id="32772988">
              <w:marLeft w:val="0"/>
              <w:marRight w:val="0"/>
              <w:marTop w:val="0"/>
              <w:marBottom w:val="0"/>
              <w:divBdr>
                <w:top w:val="none" w:sz="0" w:space="0" w:color="auto"/>
                <w:left w:val="none" w:sz="0" w:space="0" w:color="auto"/>
                <w:bottom w:val="none" w:sz="0" w:space="0" w:color="auto"/>
                <w:right w:val="none" w:sz="0" w:space="0" w:color="auto"/>
              </w:divBdr>
            </w:div>
            <w:div w:id="113984968">
              <w:marLeft w:val="0"/>
              <w:marRight w:val="0"/>
              <w:marTop w:val="0"/>
              <w:marBottom w:val="0"/>
              <w:divBdr>
                <w:top w:val="none" w:sz="0" w:space="0" w:color="auto"/>
                <w:left w:val="none" w:sz="0" w:space="0" w:color="auto"/>
                <w:bottom w:val="none" w:sz="0" w:space="0" w:color="auto"/>
                <w:right w:val="none" w:sz="0" w:space="0" w:color="auto"/>
              </w:divBdr>
            </w:div>
            <w:div w:id="185871244">
              <w:marLeft w:val="0"/>
              <w:marRight w:val="0"/>
              <w:marTop w:val="0"/>
              <w:marBottom w:val="0"/>
              <w:divBdr>
                <w:top w:val="none" w:sz="0" w:space="0" w:color="auto"/>
                <w:left w:val="none" w:sz="0" w:space="0" w:color="auto"/>
                <w:bottom w:val="none" w:sz="0" w:space="0" w:color="auto"/>
                <w:right w:val="none" w:sz="0" w:space="0" w:color="auto"/>
              </w:divBdr>
            </w:div>
            <w:div w:id="258414272">
              <w:marLeft w:val="0"/>
              <w:marRight w:val="0"/>
              <w:marTop w:val="0"/>
              <w:marBottom w:val="0"/>
              <w:divBdr>
                <w:top w:val="none" w:sz="0" w:space="0" w:color="auto"/>
                <w:left w:val="none" w:sz="0" w:space="0" w:color="auto"/>
                <w:bottom w:val="none" w:sz="0" w:space="0" w:color="auto"/>
                <w:right w:val="none" w:sz="0" w:space="0" w:color="auto"/>
              </w:divBdr>
            </w:div>
            <w:div w:id="376392443">
              <w:marLeft w:val="0"/>
              <w:marRight w:val="0"/>
              <w:marTop w:val="0"/>
              <w:marBottom w:val="0"/>
              <w:divBdr>
                <w:top w:val="none" w:sz="0" w:space="0" w:color="auto"/>
                <w:left w:val="none" w:sz="0" w:space="0" w:color="auto"/>
                <w:bottom w:val="none" w:sz="0" w:space="0" w:color="auto"/>
                <w:right w:val="none" w:sz="0" w:space="0" w:color="auto"/>
              </w:divBdr>
            </w:div>
            <w:div w:id="412236886">
              <w:marLeft w:val="0"/>
              <w:marRight w:val="0"/>
              <w:marTop w:val="0"/>
              <w:marBottom w:val="0"/>
              <w:divBdr>
                <w:top w:val="none" w:sz="0" w:space="0" w:color="auto"/>
                <w:left w:val="none" w:sz="0" w:space="0" w:color="auto"/>
                <w:bottom w:val="none" w:sz="0" w:space="0" w:color="auto"/>
                <w:right w:val="none" w:sz="0" w:space="0" w:color="auto"/>
              </w:divBdr>
            </w:div>
            <w:div w:id="468715464">
              <w:marLeft w:val="0"/>
              <w:marRight w:val="0"/>
              <w:marTop w:val="0"/>
              <w:marBottom w:val="0"/>
              <w:divBdr>
                <w:top w:val="none" w:sz="0" w:space="0" w:color="auto"/>
                <w:left w:val="none" w:sz="0" w:space="0" w:color="auto"/>
                <w:bottom w:val="none" w:sz="0" w:space="0" w:color="auto"/>
                <w:right w:val="none" w:sz="0" w:space="0" w:color="auto"/>
              </w:divBdr>
            </w:div>
            <w:div w:id="598290737">
              <w:marLeft w:val="0"/>
              <w:marRight w:val="0"/>
              <w:marTop w:val="0"/>
              <w:marBottom w:val="0"/>
              <w:divBdr>
                <w:top w:val="none" w:sz="0" w:space="0" w:color="auto"/>
                <w:left w:val="none" w:sz="0" w:space="0" w:color="auto"/>
                <w:bottom w:val="none" w:sz="0" w:space="0" w:color="auto"/>
                <w:right w:val="none" w:sz="0" w:space="0" w:color="auto"/>
              </w:divBdr>
            </w:div>
            <w:div w:id="632827897">
              <w:marLeft w:val="0"/>
              <w:marRight w:val="0"/>
              <w:marTop w:val="0"/>
              <w:marBottom w:val="0"/>
              <w:divBdr>
                <w:top w:val="none" w:sz="0" w:space="0" w:color="auto"/>
                <w:left w:val="none" w:sz="0" w:space="0" w:color="auto"/>
                <w:bottom w:val="none" w:sz="0" w:space="0" w:color="auto"/>
                <w:right w:val="none" w:sz="0" w:space="0" w:color="auto"/>
              </w:divBdr>
            </w:div>
            <w:div w:id="681392596">
              <w:marLeft w:val="0"/>
              <w:marRight w:val="0"/>
              <w:marTop w:val="0"/>
              <w:marBottom w:val="0"/>
              <w:divBdr>
                <w:top w:val="none" w:sz="0" w:space="0" w:color="auto"/>
                <w:left w:val="none" w:sz="0" w:space="0" w:color="auto"/>
                <w:bottom w:val="none" w:sz="0" w:space="0" w:color="auto"/>
                <w:right w:val="none" w:sz="0" w:space="0" w:color="auto"/>
              </w:divBdr>
            </w:div>
            <w:div w:id="747072287">
              <w:marLeft w:val="0"/>
              <w:marRight w:val="0"/>
              <w:marTop w:val="0"/>
              <w:marBottom w:val="0"/>
              <w:divBdr>
                <w:top w:val="none" w:sz="0" w:space="0" w:color="auto"/>
                <w:left w:val="none" w:sz="0" w:space="0" w:color="auto"/>
                <w:bottom w:val="none" w:sz="0" w:space="0" w:color="auto"/>
                <w:right w:val="none" w:sz="0" w:space="0" w:color="auto"/>
              </w:divBdr>
            </w:div>
            <w:div w:id="1037852756">
              <w:marLeft w:val="0"/>
              <w:marRight w:val="0"/>
              <w:marTop w:val="0"/>
              <w:marBottom w:val="0"/>
              <w:divBdr>
                <w:top w:val="none" w:sz="0" w:space="0" w:color="auto"/>
                <w:left w:val="none" w:sz="0" w:space="0" w:color="auto"/>
                <w:bottom w:val="none" w:sz="0" w:space="0" w:color="auto"/>
                <w:right w:val="none" w:sz="0" w:space="0" w:color="auto"/>
              </w:divBdr>
            </w:div>
            <w:div w:id="1069621468">
              <w:marLeft w:val="0"/>
              <w:marRight w:val="0"/>
              <w:marTop w:val="0"/>
              <w:marBottom w:val="0"/>
              <w:divBdr>
                <w:top w:val="none" w:sz="0" w:space="0" w:color="auto"/>
                <w:left w:val="none" w:sz="0" w:space="0" w:color="auto"/>
                <w:bottom w:val="none" w:sz="0" w:space="0" w:color="auto"/>
                <w:right w:val="none" w:sz="0" w:space="0" w:color="auto"/>
              </w:divBdr>
            </w:div>
            <w:div w:id="1109350831">
              <w:marLeft w:val="0"/>
              <w:marRight w:val="0"/>
              <w:marTop w:val="0"/>
              <w:marBottom w:val="0"/>
              <w:divBdr>
                <w:top w:val="none" w:sz="0" w:space="0" w:color="auto"/>
                <w:left w:val="none" w:sz="0" w:space="0" w:color="auto"/>
                <w:bottom w:val="none" w:sz="0" w:space="0" w:color="auto"/>
                <w:right w:val="none" w:sz="0" w:space="0" w:color="auto"/>
              </w:divBdr>
            </w:div>
            <w:div w:id="1256206133">
              <w:marLeft w:val="0"/>
              <w:marRight w:val="0"/>
              <w:marTop w:val="0"/>
              <w:marBottom w:val="0"/>
              <w:divBdr>
                <w:top w:val="none" w:sz="0" w:space="0" w:color="auto"/>
                <w:left w:val="none" w:sz="0" w:space="0" w:color="auto"/>
                <w:bottom w:val="none" w:sz="0" w:space="0" w:color="auto"/>
                <w:right w:val="none" w:sz="0" w:space="0" w:color="auto"/>
              </w:divBdr>
            </w:div>
            <w:div w:id="1283153127">
              <w:marLeft w:val="0"/>
              <w:marRight w:val="0"/>
              <w:marTop w:val="0"/>
              <w:marBottom w:val="0"/>
              <w:divBdr>
                <w:top w:val="none" w:sz="0" w:space="0" w:color="auto"/>
                <w:left w:val="none" w:sz="0" w:space="0" w:color="auto"/>
                <w:bottom w:val="none" w:sz="0" w:space="0" w:color="auto"/>
                <w:right w:val="none" w:sz="0" w:space="0" w:color="auto"/>
              </w:divBdr>
            </w:div>
            <w:div w:id="1285499157">
              <w:marLeft w:val="0"/>
              <w:marRight w:val="0"/>
              <w:marTop w:val="0"/>
              <w:marBottom w:val="0"/>
              <w:divBdr>
                <w:top w:val="none" w:sz="0" w:space="0" w:color="auto"/>
                <w:left w:val="none" w:sz="0" w:space="0" w:color="auto"/>
                <w:bottom w:val="none" w:sz="0" w:space="0" w:color="auto"/>
                <w:right w:val="none" w:sz="0" w:space="0" w:color="auto"/>
              </w:divBdr>
            </w:div>
            <w:div w:id="1675763620">
              <w:marLeft w:val="0"/>
              <w:marRight w:val="0"/>
              <w:marTop w:val="0"/>
              <w:marBottom w:val="0"/>
              <w:divBdr>
                <w:top w:val="none" w:sz="0" w:space="0" w:color="auto"/>
                <w:left w:val="none" w:sz="0" w:space="0" w:color="auto"/>
                <w:bottom w:val="none" w:sz="0" w:space="0" w:color="auto"/>
                <w:right w:val="none" w:sz="0" w:space="0" w:color="auto"/>
              </w:divBdr>
            </w:div>
            <w:div w:id="1778132304">
              <w:marLeft w:val="0"/>
              <w:marRight w:val="0"/>
              <w:marTop w:val="0"/>
              <w:marBottom w:val="0"/>
              <w:divBdr>
                <w:top w:val="none" w:sz="0" w:space="0" w:color="auto"/>
                <w:left w:val="none" w:sz="0" w:space="0" w:color="auto"/>
                <w:bottom w:val="none" w:sz="0" w:space="0" w:color="auto"/>
                <w:right w:val="none" w:sz="0" w:space="0" w:color="auto"/>
              </w:divBdr>
            </w:div>
            <w:div w:id="2125271468">
              <w:marLeft w:val="0"/>
              <w:marRight w:val="0"/>
              <w:marTop w:val="0"/>
              <w:marBottom w:val="0"/>
              <w:divBdr>
                <w:top w:val="none" w:sz="0" w:space="0" w:color="auto"/>
                <w:left w:val="none" w:sz="0" w:space="0" w:color="auto"/>
                <w:bottom w:val="none" w:sz="0" w:space="0" w:color="auto"/>
                <w:right w:val="none" w:sz="0" w:space="0" w:color="auto"/>
              </w:divBdr>
            </w:div>
          </w:divsChild>
        </w:div>
        <w:div w:id="354698683">
          <w:marLeft w:val="0"/>
          <w:marRight w:val="0"/>
          <w:marTop w:val="0"/>
          <w:marBottom w:val="0"/>
          <w:divBdr>
            <w:top w:val="none" w:sz="0" w:space="0" w:color="auto"/>
            <w:left w:val="none" w:sz="0" w:space="0" w:color="auto"/>
            <w:bottom w:val="none" w:sz="0" w:space="0" w:color="auto"/>
            <w:right w:val="none" w:sz="0" w:space="0" w:color="auto"/>
          </w:divBdr>
          <w:divsChild>
            <w:div w:id="78406438">
              <w:marLeft w:val="0"/>
              <w:marRight w:val="0"/>
              <w:marTop w:val="0"/>
              <w:marBottom w:val="0"/>
              <w:divBdr>
                <w:top w:val="none" w:sz="0" w:space="0" w:color="auto"/>
                <w:left w:val="none" w:sz="0" w:space="0" w:color="auto"/>
                <w:bottom w:val="none" w:sz="0" w:space="0" w:color="auto"/>
                <w:right w:val="none" w:sz="0" w:space="0" w:color="auto"/>
              </w:divBdr>
            </w:div>
            <w:div w:id="132527200">
              <w:marLeft w:val="0"/>
              <w:marRight w:val="0"/>
              <w:marTop w:val="0"/>
              <w:marBottom w:val="0"/>
              <w:divBdr>
                <w:top w:val="none" w:sz="0" w:space="0" w:color="auto"/>
                <w:left w:val="none" w:sz="0" w:space="0" w:color="auto"/>
                <w:bottom w:val="none" w:sz="0" w:space="0" w:color="auto"/>
                <w:right w:val="none" w:sz="0" w:space="0" w:color="auto"/>
              </w:divBdr>
            </w:div>
            <w:div w:id="562370587">
              <w:marLeft w:val="0"/>
              <w:marRight w:val="0"/>
              <w:marTop w:val="0"/>
              <w:marBottom w:val="0"/>
              <w:divBdr>
                <w:top w:val="none" w:sz="0" w:space="0" w:color="auto"/>
                <w:left w:val="none" w:sz="0" w:space="0" w:color="auto"/>
                <w:bottom w:val="none" w:sz="0" w:space="0" w:color="auto"/>
                <w:right w:val="none" w:sz="0" w:space="0" w:color="auto"/>
              </w:divBdr>
            </w:div>
            <w:div w:id="840975857">
              <w:marLeft w:val="0"/>
              <w:marRight w:val="0"/>
              <w:marTop w:val="0"/>
              <w:marBottom w:val="0"/>
              <w:divBdr>
                <w:top w:val="none" w:sz="0" w:space="0" w:color="auto"/>
                <w:left w:val="none" w:sz="0" w:space="0" w:color="auto"/>
                <w:bottom w:val="none" w:sz="0" w:space="0" w:color="auto"/>
                <w:right w:val="none" w:sz="0" w:space="0" w:color="auto"/>
              </w:divBdr>
            </w:div>
            <w:div w:id="1094473602">
              <w:marLeft w:val="0"/>
              <w:marRight w:val="0"/>
              <w:marTop w:val="0"/>
              <w:marBottom w:val="0"/>
              <w:divBdr>
                <w:top w:val="none" w:sz="0" w:space="0" w:color="auto"/>
                <w:left w:val="none" w:sz="0" w:space="0" w:color="auto"/>
                <w:bottom w:val="none" w:sz="0" w:space="0" w:color="auto"/>
                <w:right w:val="none" w:sz="0" w:space="0" w:color="auto"/>
              </w:divBdr>
            </w:div>
            <w:div w:id="1124931083">
              <w:marLeft w:val="0"/>
              <w:marRight w:val="0"/>
              <w:marTop w:val="0"/>
              <w:marBottom w:val="0"/>
              <w:divBdr>
                <w:top w:val="none" w:sz="0" w:space="0" w:color="auto"/>
                <w:left w:val="none" w:sz="0" w:space="0" w:color="auto"/>
                <w:bottom w:val="none" w:sz="0" w:space="0" w:color="auto"/>
                <w:right w:val="none" w:sz="0" w:space="0" w:color="auto"/>
              </w:divBdr>
            </w:div>
            <w:div w:id="1201894898">
              <w:marLeft w:val="0"/>
              <w:marRight w:val="0"/>
              <w:marTop w:val="0"/>
              <w:marBottom w:val="0"/>
              <w:divBdr>
                <w:top w:val="none" w:sz="0" w:space="0" w:color="auto"/>
                <w:left w:val="none" w:sz="0" w:space="0" w:color="auto"/>
                <w:bottom w:val="none" w:sz="0" w:space="0" w:color="auto"/>
                <w:right w:val="none" w:sz="0" w:space="0" w:color="auto"/>
              </w:divBdr>
            </w:div>
            <w:div w:id="1395349036">
              <w:marLeft w:val="0"/>
              <w:marRight w:val="0"/>
              <w:marTop w:val="0"/>
              <w:marBottom w:val="0"/>
              <w:divBdr>
                <w:top w:val="none" w:sz="0" w:space="0" w:color="auto"/>
                <w:left w:val="none" w:sz="0" w:space="0" w:color="auto"/>
                <w:bottom w:val="none" w:sz="0" w:space="0" w:color="auto"/>
                <w:right w:val="none" w:sz="0" w:space="0" w:color="auto"/>
              </w:divBdr>
            </w:div>
            <w:div w:id="1423070093">
              <w:marLeft w:val="0"/>
              <w:marRight w:val="0"/>
              <w:marTop w:val="0"/>
              <w:marBottom w:val="0"/>
              <w:divBdr>
                <w:top w:val="none" w:sz="0" w:space="0" w:color="auto"/>
                <w:left w:val="none" w:sz="0" w:space="0" w:color="auto"/>
                <w:bottom w:val="none" w:sz="0" w:space="0" w:color="auto"/>
                <w:right w:val="none" w:sz="0" w:space="0" w:color="auto"/>
              </w:divBdr>
            </w:div>
            <w:div w:id="1599215891">
              <w:marLeft w:val="0"/>
              <w:marRight w:val="0"/>
              <w:marTop w:val="0"/>
              <w:marBottom w:val="0"/>
              <w:divBdr>
                <w:top w:val="none" w:sz="0" w:space="0" w:color="auto"/>
                <w:left w:val="none" w:sz="0" w:space="0" w:color="auto"/>
                <w:bottom w:val="none" w:sz="0" w:space="0" w:color="auto"/>
                <w:right w:val="none" w:sz="0" w:space="0" w:color="auto"/>
              </w:divBdr>
            </w:div>
            <w:div w:id="1652127671">
              <w:marLeft w:val="0"/>
              <w:marRight w:val="0"/>
              <w:marTop w:val="0"/>
              <w:marBottom w:val="0"/>
              <w:divBdr>
                <w:top w:val="none" w:sz="0" w:space="0" w:color="auto"/>
                <w:left w:val="none" w:sz="0" w:space="0" w:color="auto"/>
                <w:bottom w:val="none" w:sz="0" w:space="0" w:color="auto"/>
                <w:right w:val="none" w:sz="0" w:space="0" w:color="auto"/>
              </w:divBdr>
            </w:div>
            <w:div w:id="1756825459">
              <w:marLeft w:val="0"/>
              <w:marRight w:val="0"/>
              <w:marTop w:val="0"/>
              <w:marBottom w:val="0"/>
              <w:divBdr>
                <w:top w:val="none" w:sz="0" w:space="0" w:color="auto"/>
                <w:left w:val="none" w:sz="0" w:space="0" w:color="auto"/>
                <w:bottom w:val="none" w:sz="0" w:space="0" w:color="auto"/>
                <w:right w:val="none" w:sz="0" w:space="0" w:color="auto"/>
              </w:divBdr>
            </w:div>
            <w:div w:id="2007827437">
              <w:marLeft w:val="0"/>
              <w:marRight w:val="0"/>
              <w:marTop w:val="0"/>
              <w:marBottom w:val="0"/>
              <w:divBdr>
                <w:top w:val="none" w:sz="0" w:space="0" w:color="auto"/>
                <w:left w:val="none" w:sz="0" w:space="0" w:color="auto"/>
                <w:bottom w:val="none" w:sz="0" w:space="0" w:color="auto"/>
                <w:right w:val="none" w:sz="0" w:space="0" w:color="auto"/>
              </w:divBdr>
            </w:div>
            <w:div w:id="2043163449">
              <w:marLeft w:val="0"/>
              <w:marRight w:val="0"/>
              <w:marTop w:val="0"/>
              <w:marBottom w:val="0"/>
              <w:divBdr>
                <w:top w:val="none" w:sz="0" w:space="0" w:color="auto"/>
                <w:left w:val="none" w:sz="0" w:space="0" w:color="auto"/>
                <w:bottom w:val="none" w:sz="0" w:space="0" w:color="auto"/>
                <w:right w:val="none" w:sz="0" w:space="0" w:color="auto"/>
              </w:divBdr>
            </w:div>
          </w:divsChild>
        </w:div>
        <w:div w:id="1192499392">
          <w:marLeft w:val="0"/>
          <w:marRight w:val="0"/>
          <w:marTop w:val="0"/>
          <w:marBottom w:val="0"/>
          <w:divBdr>
            <w:top w:val="none" w:sz="0" w:space="0" w:color="auto"/>
            <w:left w:val="none" w:sz="0" w:space="0" w:color="auto"/>
            <w:bottom w:val="none" w:sz="0" w:space="0" w:color="auto"/>
            <w:right w:val="none" w:sz="0" w:space="0" w:color="auto"/>
          </w:divBdr>
          <w:divsChild>
            <w:div w:id="156925240">
              <w:marLeft w:val="0"/>
              <w:marRight w:val="0"/>
              <w:marTop w:val="0"/>
              <w:marBottom w:val="0"/>
              <w:divBdr>
                <w:top w:val="none" w:sz="0" w:space="0" w:color="auto"/>
                <w:left w:val="none" w:sz="0" w:space="0" w:color="auto"/>
                <w:bottom w:val="none" w:sz="0" w:space="0" w:color="auto"/>
                <w:right w:val="none" w:sz="0" w:space="0" w:color="auto"/>
              </w:divBdr>
            </w:div>
            <w:div w:id="394623428">
              <w:marLeft w:val="0"/>
              <w:marRight w:val="0"/>
              <w:marTop w:val="0"/>
              <w:marBottom w:val="0"/>
              <w:divBdr>
                <w:top w:val="none" w:sz="0" w:space="0" w:color="auto"/>
                <w:left w:val="none" w:sz="0" w:space="0" w:color="auto"/>
                <w:bottom w:val="none" w:sz="0" w:space="0" w:color="auto"/>
                <w:right w:val="none" w:sz="0" w:space="0" w:color="auto"/>
              </w:divBdr>
            </w:div>
            <w:div w:id="858279241">
              <w:marLeft w:val="0"/>
              <w:marRight w:val="0"/>
              <w:marTop w:val="0"/>
              <w:marBottom w:val="0"/>
              <w:divBdr>
                <w:top w:val="none" w:sz="0" w:space="0" w:color="auto"/>
                <w:left w:val="none" w:sz="0" w:space="0" w:color="auto"/>
                <w:bottom w:val="none" w:sz="0" w:space="0" w:color="auto"/>
                <w:right w:val="none" w:sz="0" w:space="0" w:color="auto"/>
              </w:divBdr>
            </w:div>
            <w:div w:id="932975929">
              <w:marLeft w:val="0"/>
              <w:marRight w:val="0"/>
              <w:marTop w:val="0"/>
              <w:marBottom w:val="0"/>
              <w:divBdr>
                <w:top w:val="none" w:sz="0" w:space="0" w:color="auto"/>
                <w:left w:val="none" w:sz="0" w:space="0" w:color="auto"/>
                <w:bottom w:val="none" w:sz="0" w:space="0" w:color="auto"/>
                <w:right w:val="none" w:sz="0" w:space="0" w:color="auto"/>
              </w:divBdr>
            </w:div>
            <w:div w:id="957182473">
              <w:marLeft w:val="0"/>
              <w:marRight w:val="0"/>
              <w:marTop w:val="0"/>
              <w:marBottom w:val="0"/>
              <w:divBdr>
                <w:top w:val="none" w:sz="0" w:space="0" w:color="auto"/>
                <w:left w:val="none" w:sz="0" w:space="0" w:color="auto"/>
                <w:bottom w:val="none" w:sz="0" w:space="0" w:color="auto"/>
                <w:right w:val="none" w:sz="0" w:space="0" w:color="auto"/>
              </w:divBdr>
            </w:div>
            <w:div w:id="1246912682">
              <w:marLeft w:val="0"/>
              <w:marRight w:val="0"/>
              <w:marTop w:val="0"/>
              <w:marBottom w:val="0"/>
              <w:divBdr>
                <w:top w:val="none" w:sz="0" w:space="0" w:color="auto"/>
                <w:left w:val="none" w:sz="0" w:space="0" w:color="auto"/>
                <w:bottom w:val="none" w:sz="0" w:space="0" w:color="auto"/>
                <w:right w:val="none" w:sz="0" w:space="0" w:color="auto"/>
              </w:divBdr>
            </w:div>
            <w:div w:id="1349137135">
              <w:marLeft w:val="0"/>
              <w:marRight w:val="0"/>
              <w:marTop w:val="0"/>
              <w:marBottom w:val="0"/>
              <w:divBdr>
                <w:top w:val="none" w:sz="0" w:space="0" w:color="auto"/>
                <w:left w:val="none" w:sz="0" w:space="0" w:color="auto"/>
                <w:bottom w:val="none" w:sz="0" w:space="0" w:color="auto"/>
                <w:right w:val="none" w:sz="0" w:space="0" w:color="auto"/>
              </w:divBdr>
            </w:div>
            <w:div w:id="1368137536">
              <w:marLeft w:val="0"/>
              <w:marRight w:val="0"/>
              <w:marTop w:val="0"/>
              <w:marBottom w:val="0"/>
              <w:divBdr>
                <w:top w:val="none" w:sz="0" w:space="0" w:color="auto"/>
                <w:left w:val="none" w:sz="0" w:space="0" w:color="auto"/>
                <w:bottom w:val="none" w:sz="0" w:space="0" w:color="auto"/>
                <w:right w:val="none" w:sz="0" w:space="0" w:color="auto"/>
              </w:divBdr>
            </w:div>
            <w:div w:id="1533687619">
              <w:marLeft w:val="0"/>
              <w:marRight w:val="0"/>
              <w:marTop w:val="0"/>
              <w:marBottom w:val="0"/>
              <w:divBdr>
                <w:top w:val="none" w:sz="0" w:space="0" w:color="auto"/>
                <w:left w:val="none" w:sz="0" w:space="0" w:color="auto"/>
                <w:bottom w:val="none" w:sz="0" w:space="0" w:color="auto"/>
                <w:right w:val="none" w:sz="0" w:space="0" w:color="auto"/>
              </w:divBdr>
            </w:div>
            <w:div w:id="1676683420">
              <w:marLeft w:val="0"/>
              <w:marRight w:val="0"/>
              <w:marTop w:val="0"/>
              <w:marBottom w:val="0"/>
              <w:divBdr>
                <w:top w:val="none" w:sz="0" w:space="0" w:color="auto"/>
                <w:left w:val="none" w:sz="0" w:space="0" w:color="auto"/>
                <w:bottom w:val="none" w:sz="0" w:space="0" w:color="auto"/>
                <w:right w:val="none" w:sz="0" w:space="0" w:color="auto"/>
              </w:divBdr>
            </w:div>
            <w:div w:id="1703360215">
              <w:marLeft w:val="0"/>
              <w:marRight w:val="0"/>
              <w:marTop w:val="0"/>
              <w:marBottom w:val="0"/>
              <w:divBdr>
                <w:top w:val="none" w:sz="0" w:space="0" w:color="auto"/>
                <w:left w:val="none" w:sz="0" w:space="0" w:color="auto"/>
                <w:bottom w:val="none" w:sz="0" w:space="0" w:color="auto"/>
                <w:right w:val="none" w:sz="0" w:space="0" w:color="auto"/>
              </w:divBdr>
            </w:div>
            <w:div w:id="1756052219">
              <w:marLeft w:val="0"/>
              <w:marRight w:val="0"/>
              <w:marTop w:val="0"/>
              <w:marBottom w:val="0"/>
              <w:divBdr>
                <w:top w:val="none" w:sz="0" w:space="0" w:color="auto"/>
                <w:left w:val="none" w:sz="0" w:space="0" w:color="auto"/>
                <w:bottom w:val="none" w:sz="0" w:space="0" w:color="auto"/>
                <w:right w:val="none" w:sz="0" w:space="0" w:color="auto"/>
              </w:divBdr>
            </w:div>
            <w:div w:id="1868566949">
              <w:marLeft w:val="0"/>
              <w:marRight w:val="0"/>
              <w:marTop w:val="0"/>
              <w:marBottom w:val="0"/>
              <w:divBdr>
                <w:top w:val="none" w:sz="0" w:space="0" w:color="auto"/>
                <w:left w:val="none" w:sz="0" w:space="0" w:color="auto"/>
                <w:bottom w:val="none" w:sz="0" w:space="0" w:color="auto"/>
                <w:right w:val="none" w:sz="0" w:space="0" w:color="auto"/>
              </w:divBdr>
            </w:div>
            <w:div w:id="1900360232">
              <w:marLeft w:val="0"/>
              <w:marRight w:val="0"/>
              <w:marTop w:val="0"/>
              <w:marBottom w:val="0"/>
              <w:divBdr>
                <w:top w:val="none" w:sz="0" w:space="0" w:color="auto"/>
                <w:left w:val="none" w:sz="0" w:space="0" w:color="auto"/>
                <w:bottom w:val="none" w:sz="0" w:space="0" w:color="auto"/>
                <w:right w:val="none" w:sz="0" w:space="0" w:color="auto"/>
              </w:divBdr>
            </w:div>
            <w:div w:id="1932934884">
              <w:marLeft w:val="0"/>
              <w:marRight w:val="0"/>
              <w:marTop w:val="0"/>
              <w:marBottom w:val="0"/>
              <w:divBdr>
                <w:top w:val="none" w:sz="0" w:space="0" w:color="auto"/>
                <w:left w:val="none" w:sz="0" w:space="0" w:color="auto"/>
                <w:bottom w:val="none" w:sz="0" w:space="0" w:color="auto"/>
                <w:right w:val="none" w:sz="0" w:space="0" w:color="auto"/>
              </w:divBdr>
            </w:div>
            <w:div w:id="2050563760">
              <w:marLeft w:val="0"/>
              <w:marRight w:val="0"/>
              <w:marTop w:val="0"/>
              <w:marBottom w:val="0"/>
              <w:divBdr>
                <w:top w:val="none" w:sz="0" w:space="0" w:color="auto"/>
                <w:left w:val="none" w:sz="0" w:space="0" w:color="auto"/>
                <w:bottom w:val="none" w:sz="0" w:space="0" w:color="auto"/>
                <w:right w:val="none" w:sz="0" w:space="0" w:color="auto"/>
              </w:divBdr>
            </w:div>
            <w:div w:id="2146118545">
              <w:marLeft w:val="0"/>
              <w:marRight w:val="0"/>
              <w:marTop w:val="0"/>
              <w:marBottom w:val="0"/>
              <w:divBdr>
                <w:top w:val="none" w:sz="0" w:space="0" w:color="auto"/>
                <w:left w:val="none" w:sz="0" w:space="0" w:color="auto"/>
                <w:bottom w:val="none" w:sz="0" w:space="0" w:color="auto"/>
                <w:right w:val="none" w:sz="0" w:space="0" w:color="auto"/>
              </w:divBdr>
            </w:div>
          </w:divsChild>
        </w:div>
        <w:div w:id="1310667244">
          <w:marLeft w:val="0"/>
          <w:marRight w:val="0"/>
          <w:marTop w:val="0"/>
          <w:marBottom w:val="0"/>
          <w:divBdr>
            <w:top w:val="none" w:sz="0" w:space="0" w:color="auto"/>
            <w:left w:val="none" w:sz="0" w:space="0" w:color="auto"/>
            <w:bottom w:val="none" w:sz="0" w:space="0" w:color="auto"/>
            <w:right w:val="none" w:sz="0" w:space="0" w:color="auto"/>
          </w:divBdr>
          <w:divsChild>
            <w:div w:id="142939093">
              <w:marLeft w:val="0"/>
              <w:marRight w:val="0"/>
              <w:marTop w:val="0"/>
              <w:marBottom w:val="0"/>
              <w:divBdr>
                <w:top w:val="none" w:sz="0" w:space="0" w:color="auto"/>
                <w:left w:val="none" w:sz="0" w:space="0" w:color="auto"/>
                <w:bottom w:val="none" w:sz="0" w:space="0" w:color="auto"/>
                <w:right w:val="none" w:sz="0" w:space="0" w:color="auto"/>
              </w:divBdr>
            </w:div>
            <w:div w:id="495804135">
              <w:marLeft w:val="0"/>
              <w:marRight w:val="0"/>
              <w:marTop w:val="0"/>
              <w:marBottom w:val="0"/>
              <w:divBdr>
                <w:top w:val="none" w:sz="0" w:space="0" w:color="auto"/>
                <w:left w:val="none" w:sz="0" w:space="0" w:color="auto"/>
                <w:bottom w:val="none" w:sz="0" w:space="0" w:color="auto"/>
                <w:right w:val="none" w:sz="0" w:space="0" w:color="auto"/>
              </w:divBdr>
            </w:div>
            <w:div w:id="554269602">
              <w:marLeft w:val="0"/>
              <w:marRight w:val="0"/>
              <w:marTop w:val="0"/>
              <w:marBottom w:val="0"/>
              <w:divBdr>
                <w:top w:val="none" w:sz="0" w:space="0" w:color="auto"/>
                <w:left w:val="none" w:sz="0" w:space="0" w:color="auto"/>
                <w:bottom w:val="none" w:sz="0" w:space="0" w:color="auto"/>
                <w:right w:val="none" w:sz="0" w:space="0" w:color="auto"/>
              </w:divBdr>
            </w:div>
            <w:div w:id="587887681">
              <w:marLeft w:val="0"/>
              <w:marRight w:val="0"/>
              <w:marTop w:val="0"/>
              <w:marBottom w:val="0"/>
              <w:divBdr>
                <w:top w:val="none" w:sz="0" w:space="0" w:color="auto"/>
                <w:left w:val="none" w:sz="0" w:space="0" w:color="auto"/>
                <w:bottom w:val="none" w:sz="0" w:space="0" w:color="auto"/>
                <w:right w:val="none" w:sz="0" w:space="0" w:color="auto"/>
              </w:divBdr>
            </w:div>
            <w:div w:id="589050735">
              <w:marLeft w:val="0"/>
              <w:marRight w:val="0"/>
              <w:marTop w:val="0"/>
              <w:marBottom w:val="0"/>
              <w:divBdr>
                <w:top w:val="none" w:sz="0" w:space="0" w:color="auto"/>
                <w:left w:val="none" w:sz="0" w:space="0" w:color="auto"/>
                <w:bottom w:val="none" w:sz="0" w:space="0" w:color="auto"/>
                <w:right w:val="none" w:sz="0" w:space="0" w:color="auto"/>
              </w:divBdr>
            </w:div>
            <w:div w:id="663434809">
              <w:marLeft w:val="0"/>
              <w:marRight w:val="0"/>
              <w:marTop w:val="0"/>
              <w:marBottom w:val="0"/>
              <w:divBdr>
                <w:top w:val="none" w:sz="0" w:space="0" w:color="auto"/>
                <w:left w:val="none" w:sz="0" w:space="0" w:color="auto"/>
                <w:bottom w:val="none" w:sz="0" w:space="0" w:color="auto"/>
                <w:right w:val="none" w:sz="0" w:space="0" w:color="auto"/>
              </w:divBdr>
            </w:div>
            <w:div w:id="700282340">
              <w:marLeft w:val="0"/>
              <w:marRight w:val="0"/>
              <w:marTop w:val="0"/>
              <w:marBottom w:val="0"/>
              <w:divBdr>
                <w:top w:val="none" w:sz="0" w:space="0" w:color="auto"/>
                <w:left w:val="none" w:sz="0" w:space="0" w:color="auto"/>
                <w:bottom w:val="none" w:sz="0" w:space="0" w:color="auto"/>
                <w:right w:val="none" w:sz="0" w:space="0" w:color="auto"/>
              </w:divBdr>
            </w:div>
            <w:div w:id="702248623">
              <w:marLeft w:val="0"/>
              <w:marRight w:val="0"/>
              <w:marTop w:val="0"/>
              <w:marBottom w:val="0"/>
              <w:divBdr>
                <w:top w:val="none" w:sz="0" w:space="0" w:color="auto"/>
                <w:left w:val="none" w:sz="0" w:space="0" w:color="auto"/>
                <w:bottom w:val="none" w:sz="0" w:space="0" w:color="auto"/>
                <w:right w:val="none" w:sz="0" w:space="0" w:color="auto"/>
              </w:divBdr>
            </w:div>
            <w:div w:id="883172240">
              <w:marLeft w:val="0"/>
              <w:marRight w:val="0"/>
              <w:marTop w:val="0"/>
              <w:marBottom w:val="0"/>
              <w:divBdr>
                <w:top w:val="none" w:sz="0" w:space="0" w:color="auto"/>
                <w:left w:val="none" w:sz="0" w:space="0" w:color="auto"/>
                <w:bottom w:val="none" w:sz="0" w:space="0" w:color="auto"/>
                <w:right w:val="none" w:sz="0" w:space="0" w:color="auto"/>
              </w:divBdr>
            </w:div>
            <w:div w:id="939946155">
              <w:marLeft w:val="0"/>
              <w:marRight w:val="0"/>
              <w:marTop w:val="0"/>
              <w:marBottom w:val="0"/>
              <w:divBdr>
                <w:top w:val="none" w:sz="0" w:space="0" w:color="auto"/>
                <w:left w:val="none" w:sz="0" w:space="0" w:color="auto"/>
                <w:bottom w:val="none" w:sz="0" w:space="0" w:color="auto"/>
                <w:right w:val="none" w:sz="0" w:space="0" w:color="auto"/>
              </w:divBdr>
            </w:div>
            <w:div w:id="984116352">
              <w:marLeft w:val="0"/>
              <w:marRight w:val="0"/>
              <w:marTop w:val="0"/>
              <w:marBottom w:val="0"/>
              <w:divBdr>
                <w:top w:val="none" w:sz="0" w:space="0" w:color="auto"/>
                <w:left w:val="none" w:sz="0" w:space="0" w:color="auto"/>
                <w:bottom w:val="none" w:sz="0" w:space="0" w:color="auto"/>
                <w:right w:val="none" w:sz="0" w:space="0" w:color="auto"/>
              </w:divBdr>
            </w:div>
            <w:div w:id="1103766308">
              <w:marLeft w:val="0"/>
              <w:marRight w:val="0"/>
              <w:marTop w:val="0"/>
              <w:marBottom w:val="0"/>
              <w:divBdr>
                <w:top w:val="none" w:sz="0" w:space="0" w:color="auto"/>
                <w:left w:val="none" w:sz="0" w:space="0" w:color="auto"/>
                <w:bottom w:val="none" w:sz="0" w:space="0" w:color="auto"/>
                <w:right w:val="none" w:sz="0" w:space="0" w:color="auto"/>
              </w:divBdr>
            </w:div>
            <w:div w:id="1215433641">
              <w:marLeft w:val="0"/>
              <w:marRight w:val="0"/>
              <w:marTop w:val="0"/>
              <w:marBottom w:val="0"/>
              <w:divBdr>
                <w:top w:val="none" w:sz="0" w:space="0" w:color="auto"/>
                <w:left w:val="none" w:sz="0" w:space="0" w:color="auto"/>
                <w:bottom w:val="none" w:sz="0" w:space="0" w:color="auto"/>
                <w:right w:val="none" w:sz="0" w:space="0" w:color="auto"/>
              </w:divBdr>
            </w:div>
            <w:div w:id="1257323875">
              <w:marLeft w:val="0"/>
              <w:marRight w:val="0"/>
              <w:marTop w:val="0"/>
              <w:marBottom w:val="0"/>
              <w:divBdr>
                <w:top w:val="none" w:sz="0" w:space="0" w:color="auto"/>
                <w:left w:val="none" w:sz="0" w:space="0" w:color="auto"/>
                <w:bottom w:val="none" w:sz="0" w:space="0" w:color="auto"/>
                <w:right w:val="none" w:sz="0" w:space="0" w:color="auto"/>
              </w:divBdr>
            </w:div>
            <w:div w:id="1518423887">
              <w:marLeft w:val="0"/>
              <w:marRight w:val="0"/>
              <w:marTop w:val="0"/>
              <w:marBottom w:val="0"/>
              <w:divBdr>
                <w:top w:val="none" w:sz="0" w:space="0" w:color="auto"/>
                <w:left w:val="none" w:sz="0" w:space="0" w:color="auto"/>
                <w:bottom w:val="none" w:sz="0" w:space="0" w:color="auto"/>
                <w:right w:val="none" w:sz="0" w:space="0" w:color="auto"/>
              </w:divBdr>
            </w:div>
            <w:div w:id="1526286701">
              <w:marLeft w:val="0"/>
              <w:marRight w:val="0"/>
              <w:marTop w:val="0"/>
              <w:marBottom w:val="0"/>
              <w:divBdr>
                <w:top w:val="none" w:sz="0" w:space="0" w:color="auto"/>
                <w:left w:val="none" w:sz="0" w:space="0" w:color="auto"/>
                <w:bottom w:val="none" w:sz="0" w:space="0" w:color="auto"/>
                <w:right w:val="none" w:sz="0" w:space="0" w:color="auto"/>
              </w:divBdr>
            </w:div>
            <w:div w:id="1691371557">
              <w:marLeft w:val="0"/>
              <w:marRight w:val="0"/>
              <w:marTop w:val="0"/>
              <w:marBottom w:val="0"/>
              <w:divBdr>
                <w:top w:val="none" w:sz="0" w:space="0" w:color="auto"/>
                <w:left w:val="none" w:sz="0" w:space="0" w:color="auto"/>
                <w:bottom w:val="none" w:sz="0" w:space="0" w:color="auto"/>
                <w:right w:val="none" w:sz="0" w:space="0" w:color="auto"/>
              </w:divBdr>
            </w:div>
            <w:div w:id="1840001790">
              <w:marLeft w:val="0"/>
              <w:marRight w:val="0"/>
              <w:marTop w:val="0"/>
              <w:marBottom w:val="0"/>
              <w:divBdr>
                <w:top w:val="none" w:sz="0" w:space="0" w:color="auto"/>
                <w:left w:val="none" w:sz="0" w:space="0" w:color="auto"/>
                <w:bottom w:val="none" w:sz="0" w:space="0" w:color="auto"/>
                <w:right w:val="none" w:sz="0" w:space="0" w:color="auto"/>
              </w:divBdr>
            </w:div>
            <w:div w:id="2013025347">
              <w:marLeft w:val="0"/>
              <w:marRight w:val="0"/>
              <w:marTop w:val="0"/>
              <w:marBottom w:val="0"/>
              <w:divBdr>
                <w:top w:val="none" w:sz="0" w:space="0" w:color="auto"/>
                <w:left w:val="none" w:sz="0" w:space="0" w:color="auto"/>
                <w:bottom w:val="none" w:sz="0" w:space="0" w:color="auto"/>
                <w:right w:val="none" w:sz="0" w:space="0" w:color="auto"/>
              </w:divBdr>
            </w:div>
            <w:div w:id="210811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49019">
      <w:bodyDiv w:val="1"/>
      <w:marLeft w:val="0"/>
      <w:marRight w:val="0"/>
      <w:marTop w:val="0"/>
      <w:marBottom w:val="0"/>
      <w:divBdr>
        <w:top w:val="none" w:sz="0" w:space="0" w:color="auto"/>
        <w:left w:val="none" w:sz="0" w:space="0" w:color="auto"/>
        <w:bottom w:val="none" w:sz="0" w:space="0" w:color="auto"/>
        <w:right w:val="none" w:sz="0" w:space="0" w:color="auto"/>
      </w:divBdr>
    </w:div>
    <w:div w:id="856162612">
      <w:bodyDiv w:val="1"/>
      <w:marLeft w:val="0"/>
      <w:marRight w:val="0"/>
      <w:marTop w:val="0"/>
      <w:marBottom w:val="0"/>
      <w:divBdr>
        <w:top w:val="none" w:sz="0" w:space="0" w:color="auto"/>
        <w:left w:val="none" w:sz="0" w:space="0" w:color="auto"/>
        <w:bottom w:val="none" w:sz="0" w:space="0" w:color="auto"/>
        <w:right w:val="none" w:sz="0" w:space="0" w:color="auto"/>
      </w:divBdr>
    </w:div>
    <w:div w:id="860432365">
      <w:bodyDiv w:val="1"/>
      <w:marLeft w:val="0"/>
      <w:marRight w:val="0"/>
      <w:marTop w:val="0"/>
      <w:marBottom w:val="0"/>
      <w:divBdr>
        <w:top w:val="none" w:sz="0" w:space="0" w:color="auto"/>
        <w:left w:val="none" w:sz="0" w:space="0" w:color="auto"/>
        <w:bottom w:val="none" w:sz="0" w:space="0" w:color="auto"/>
        <w:right w:val="none" w:sz="0" w:space="0" w:color="auto"/>
      </w:divBdr>
    </w:div>
    <w:div w:id="8756582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661736">
      <w:bodyDiv w:val="1"/>
      <w:marLeft w:val="0"/>
      <w:marRight w:val="0"/>
      <w:marTop w:val="0"/>
      <w:marBottom w:val="0"/>
      <w:divBdr>
        <w:top w:val="none" w:sz="0" w:space="0" w:color="auto"/>
        <w:left w:val="none" w:sz="0" w:space="0" w:color="auto"/>
        <w:bottom w:val="none" w:sz="0" w:space="0" w:color="auto"/>
        <w:right w:val="none" w:sz="0" w:space="0" w:color="auto"/>
      </w:divBdr>
      <w:divsChild>
        <w:div w:id="3090647">
          <w:marLeft w:val="0"/>
          <w:marRight w:val="0"/>
          <w:marTop w:val="0"/>
          <w:marBottom w:val="0"/>
          <w:divBdr>
            <w:top w:val="none" w:sz="0" w:space="0" w:color="auto"/>
            <w:left w:val="none" w:sz="0" w:space="0" w:color="auto"/>
            <w:bottom w:val="none" w:sz="0" w:space="0" w:color="auto"/>
            <w:right w:val="none" w:sz="0" w:space="0" w:color="auto"/>
          </w:divBdr>
        </w:div>
        <w:div w:id="137192705">
          <w:marLeft w:val="0"/>
          <w:marRight w:val="0"/>
          <w:marTop w:val="0"/>
          <w:marBottom w:val="0"/>
          <w:divBdr>
            <w:top w:val="none" w:sz="0" w:space="0" w:color="auto"/>
            <w:left w:val="none" w:sz="0" w:space="0" w:color="auto"/>
            <w:bottom w:val="none" w:sz="0" w:space="0" w:color="auto"/>
            <w:right w:val="none" w:sz="0" w:space="0" w:color="auto"/>
          </w:divBdr>
          <w:divsChild>
            <w:div w:id="103233458">
              <w:marLeft w:val="0"/>
              <w:marRight w:val="0"/>
              <w:marTop w:val="0"/>
              <w:marBottom w:val="0"/>
              <w:divBdr>
                <w:top w:val="none" w:sz="0" w:space="0" w:color="auto"/>
                <w:left w:val="none" w:sz="0" w:space="0" w:color="auto"/>
                <w:bottom w:val="none" w:sz="0" w:space="0" w:color="auto"/>
                <w:right w:val="none" w:sz="0" w:space="0" w:color="auto"/>
              </w:divBdr>
            </w:div>
            <w:div w:id="176891661">
              <w:marLeft w:val="0"/>
              <w:marRight w:val="0"/>
              <w:marTop w:val="0"/>
              <w:marBottom w:val="0"/>
              <w:divBdr>
                <w:top w:val="none" w:sz="0" w:space="0" w:color="auto"/>
                <w:left w:val="none" w:sz="0" w:space="0" w:color="auto"/>
                <w:bottom w:val="none" w:sz="0" w:space="0" w:color="auto"/>
                <w:right w:val="none" w:sz="0" w:space="0" w:color="auto"/>
              </w:divBdr>
            </w:div>
            <w:div w:id="196897310">
              <w:marLeft w:val="0"/>
              <w:marRight w:val="0"/>
              <w:marTop w:val="0"/>
              <w:marBottom w:val="0"/>
              <w:divBdr>
                <w:top w:val="none" w:sz="0" w:space="0" w:color="auto"/>
                <w:left w:val="none" w:sz="0" w:space="0" w:color="auto"/>
                <w:bottom w:val="none" w:sz="0" w:space="0" w:color="auto"/>
                <w:right w:val="none" w:sz="0" w:space="0" w:color="auto"/>
              </w:divBdr>
            </w:div>
            <w:div w:id="334037909">
              <w:marLeft w:val="0"/>
              <w:marRight w:val="0"/>
              <w:marTop w:val="0"/>
              <w:marBottom w:val="0"/>
              <w:divBdr>
                <w:top w:val="none" w:sz="0" w:space="0" w:color="auto"/>
                <w:left w:val="none" w:sz="0" w:space="0" w:color="auto"/>
                <w:bottom w:val="none" w:sz="0" w:space="0" w:color="auto"/>
                <w:right w:val="none" w:sz="0" w:space="0" w:color="auto"/>
              </w:divBdr>
            </w:div>
            <w:div w:id="368066293">
              <w:marLeft w:val="0"/>
              <w:marRight w:val="0"/>
              <w:marTop w:val="0"/>
              <w:marBottom w:val="0"/>
              <w:divBdr>
                <w:top w:val="none" w:sz="0" w:space="0" w:color="auto"/>
                <w:left w:val="none" w:sz="0" w:space="0" w:color="auto"/>
                <w:bottom w:val="none" w:sz="0" w:space="0" w:color="auto"/>
                <w:right w:val="none" w:sz="0" w:space="0" w:color="auto"/>
              </w:divBdr>
            </w:div>
            <w:div w:id="414788377">
              <w:marLeft w:val="0"/>
              <w:marRight w:val="0"/>
              <w:marTop w:val="0"/>
              <w:marBottom w:val="0"/>
              <w:divBdr>
                <w:top w:val="none" w:sz="0" w:space="0" w:color="auto"/>
                <w:left w:val="none" w:sz="0" w:space="0" w:color="auto"/>
                <w:bottom w:val="none" w:sz="0" w:space="0" w:color="auto"/>
                <w:right w:val="none" w:sz="0" w:space="0" w:color="auto"/>
              </w:divBdr>
            </w:div>
            <w:div w:id="538051814">
              <w:marLeft w:val="0"/>
              <w:marRight w:val="0"/>
              <w:marTop w:val="0"/>
              <w:marBottom w:val="0"/>
              <w:divBdr>
                <w:top w:val="none" w:sz="0" w:space="0" w:color="auto"/>
                <w:left w:val="none" w:sz="0" w:space="0" w:color="auto"/>
                <w:bottom w:val="none" w:sz="0" w:space="0" w:color="auto"/>
                <w:right w:val="none" w:sz="0" w:space="0" w:color="auto"/>
              </w:divBdr>
            </w:div>
            <w:div w:id="780878581">
              <w:marLeft w:val="0"/>
              <w:marRight w:val="0"/>
              <w:marTop w:val="0"/>
              <w:marBottom w:val="0"/>
              <w:divBdr>
                <w:top w:val="none" w:sz="0" w:space="0" w:color="auto"/>
                <w:left w:val="none" w:sz="0" w:space="0" w:color="auto"/>
                <w:bottom w:val="none" w:sz="0" w:space="0" w:color="auto"/>
                <w:right w:val="none" w:sz="0" w:space="0" w:color="auto"/>
              </w:divBdr>
            </w:div>
            <w:div w:id="925458958">
              <w:marLeft w:val="0"/>
              <w:marRight w:val="0"/>
              <w:marTop w:val="0"/>
              <w:marBottom w:val="0"/>
              <w:divBdr>
                <w:top w:val="none" w:sz="0" w:space="0" w:color="auto"/>
                <w:left w:val="none" w:sz="0" w:space="0" w:color="auto"/>
                <w:bottom w:val="none" w:sz="0" w:space="0" w:color="auto"/>
                <w:right w:val="none" w:sz="0" w:space="0" w:color="auto"/>
              </w:divBdr>
            </w:div>
            <w:div w:id="1112435503">
              <w:marLeft w:val="0"/>
              <w:marRight w:val="0"/>
              <w:marTop w:val="0"/>
              <w:marBottom w:val="0"/>
              <w:divBdr>
                <w:top w:val="none" w:sz="0" w:space="0" w:color="auto"/>
                <w:left w:val="none" w:sz="0" w:space="0" w:color="auto"/>
                <w:bottom w:val="none" w:sz="0" w:space="0" w:color="auto"/>
                <w:right w:val="none" w:sz="0" w:space="0" w:color="auto"/>
              </w:divBdr>
            </w:div>
            <w:div w:id="1268999343">
              <w:marLeft w:val="0"/>
              <w:marRight w:val="0"/>
              <w:marTop w:val="0"/>
              <w:marBottom w:val="0"/>
              <w:divBdr>
                <w:top w:val="none" w:sz="0" w:space="0" w:color="auto"/>
                <w:left w:val="none" w:sz="0" w:space="0" w:color="auto"/>
                <w:bottom w:val="none" w:sz="0" w:space="0" w:color="auto"/>
                <w:right w:val="none" w:sz="0" w:space="0" w:color="auto"/>
              </w:divBdr>
            </w:div>
            <w:div w:id="1324895273">
              <w:marLeft w:val="0"/>
              <w:marRight w:val="0"/>
              <w:marTop w:val="0"/>
              <w:marBottom w:val="0"/>
              <w:divBdr>
                <w:top w:val="none" w:sz="0" w:space="0" w:color="auto"/>
                <w:left w:val="none" w:sz="0" w:space="0" w:color="auto"/>
                <w:bottom w:val="none" w:sz="0" w:space="0" w:color="auto"/>
                <w:right w:val="none" w:sz="0" w:space="0" w:color="auto"/>
              </w:divBdr>
            </w:div>
            <w:div w:id="1408381872">
              <w:marLeft w:val="0"/>
              <w:marRight w:val="0"/>
              <w:marTop w:val="0"/>
              <w:marBottom w:val="0"/>
              <w:divBdr>
                <w:top w:val="none" w:sz="0" w:space="0" w:color="auto"/>
                <w:left w:val="none" w:sz="0" w:space="0" w:color="auto"/>
                <w:bottom w:val="none" w:sz="0" w:space="0" w:color="auto"/>
                <w:right w:val="none" w:sz="0" w:space="0" w:color="auto"/>
              </w:divBdr>
            </w:div>
            <w:div w:id="1426657113">
              <w:marLeft w:val="0"/>
              <w:marRight w:val="0"/>
              <w:marTop w:val="0"/>
              <w:marBottom w:val="0"/>
              <w:divBdr>
                <w:top w:val="none" w:sz="0" w:space="0" w:color="auto"/>
                <w:left w:val="none" w:sz="0" w:space="0" w:color="auto"/>
                <w:bottom w:val="none" w:sz="0" w:space="0" w:color="auto"/>
                <w:right w:val="none" w:sz="0" w:space="0" w:color="auto"/>
              </w:divBdr>
            </w:div>
            <w:div w:id="1606889942">
              <w:marLeft w:val="0"/>
              <w:marRight w:val="0"/>
              <w:marTop w:val="0"/>
              <w:marBottom w:val="0"/>
              <w:divBdr>
                <w:top w:val="none" w:sz="0" w:space="0" w:color="auto"/>
                <w:left w:val="none" w:sz="0" w:space="0" w:color="auto"/>
                <w:bottom w:val="none" w:sz="0" w:space="0" w:color="auto"/>
                <w:right w:val="none" w:sz="0" w:space="0" w:color="auto"/>
              </w:divBdr>
            </w:div>
            <w:div w:id="1667631799">
              <w:marLeft w:val="0"/>
              <w:marRight w:val="0"/>
              <w:marTop w:val="0"/>
              <w:marBottom w:val="0"/>
              <w:divBdr>
                <w:top w:val="none" w:sz="0" w:space="0" w:color="auto"/>
                <w:left w:val="none" w:sz="0" w:space="0" w:color="auto"/>
                <w:bottom w:val="none" w:sz="0" w:space="0" w:color="auto"/>
                <w:right w:val="none" w:sz="0" w:space="0" w:color="auto"/>
              </w:divBdr>
            </w:div>
            <w:div w:id="1964996077">
              <w:marLeft w:val="0"/>
              <w:marRight w:val="0"/>
              <w:marTop w:val="0"/>
              <w:marBottom w:val="0"/>
              <w:divBdr>
                <w:top w:val="none" w:sz="0" w:space="0" w:color="auto"/>
                <w:left w:val="none" w:sz="0" w:space="0" w:color="auto"/>
                <w:bottom w:val="none" w:sz="0" w:space="0" w:color="auto"/>
                <w:right w:val="none" w:sz="0" w:space="0" w:color="auto"/>
              </w:divBdr>
            </w:div>
            <w:div w:id="1967813265">
              <w:marLeft w:val="0"/>
              <w:marRight w:val="0"/>
              <w:marTop w:val="0"/>
              <w:marBottom w:val="0"/>
              <w:divBdr>
                <w:top w:val="none" w:sz="0" w:space="0" w:color="auto"/>
                <w:left w:val="none" w:sz="0" w:space="0" w:color="auto"/>
                <w:bottom w:val="none" w:sz="0" w:space="0" w:color="auto"/>
                <w:right w:val="none" w:sz="0" w:space="0" w:color="auto"/>
              </w:divBdr>
            </w:div>
            <w:div w:id="1968581242">
              <w:marLeft w:val="0"/>
              <w:marRight w:val="0"/>
              <w:marTop w:val="0"/>
              <w:marBottom w:val="0"/>
              <w:divBdr>
                <w:top w:val="none" w:sz="0" w:space="0" w:color="auto"/>
                <w:left w:val="none" w:sz="0" w:space="0" w:color="auto"/>
                <w:bottom w:val="none" w:sz="0" w:space="0" w:color="auto"/>
                <w:right w:val="none" w:sz="0" w:space="0" w:color="auto"/>
              </w:divBdr>
            </w:div>
            <w:div w:id="2031028570">
              <w:marLeft w:val="0"/>
              <w:marRight w:val="0"/>
              <w:marTop w:val="0"/>
              <w:marBottom w:val="0"/>
              <w:divBdr>
                <w:top w:val="none" w:sz="0" w:space="0" w:color="auto"/>
                <w:left w:val="none" w:sz="0" w:space="0" w:color="auto"/>
                <w:bottom w:val="none" w:sz="0" w:space="0" w:color="auto"/>
                <w:right w:val="none" w:sz="0" w:space="0" w:color="auto"/>
              </w:divBdr>
            </w:div>
          </w:divsChild>
        </w:div>
        <w:div w:id="329873181">
          <w:marLeft w:val="0"/>
          <w:marRight w:val="0"/>
          <w:marTop w:val="0"/>
          <w:marBottom w:val="0"/>
          <w:divBdr>
            <w:top w:val="none" w:sz="0" w:space="0" w:color="auto"/>
            <w:left w:val="none" w:sz="0" w:space="0" w:color="auto"/>
            <w:bottom w:val="none" w:sz="0" w:space="0" w:color="auto"/>
            <w:right w:val="none" w:sz="0" w:space="0" w:color="auto"/>
          </w:divBdr>
          <w:divsChild>
            <w:div w:id="107437939">
              <w:marLeft w:val="0"/>
              <w:marRight w:val="0"/>
              <w:marTop w:val="0"/>
              <w:marBottom w:val="0"/>
              <w:divBdr>
                <w:top w:val="none" w:sz="0" w:space="0" w:color="auto"/>
                <w:left w:val="none" w:sz="0" w:space="0" w:color="auto"/>
                <w:bottom w:val="none" w:sz="0" w:space="0" w:color="auto"/>
                <w:right w:val="none" w:sz="0" w:space="0" w:color="auto"/>
              </w:divBdr>
            </w:div>
            <w:div w:id="371199612">
              <w:marLeft w:val="0"/>
              <w:marRight w:val="0"/>
              <w:marTop w:val="0"/>
              <w:marBottom w:val="0"/>
              <w:divBdr>
                <w:top w:val="none" w:sz="0" w:space="0" w:color="auto"/>
                <w:left w:val="none" w:sz="0" w:space="0" w:color="auto"/>
                <w:bottom w:val="none" w:sz="0" w:space="0" w:color="auto"/>
                <w:right w:val="none" w:sz="0" w:space="0" w:color="auto"/>
              </w:divBdr>
            </w:div>
            <w:div w:id="420105388">
              <w:marLeft w:val="0"/>
              <w:marRight w:val="0"/>
              <w:marTop w:val="0"/>
              <w:marBottom w:val="0"/>
              <w:divBdr>
                <w:top w:val="none" w:sz="0" w:space="0" w:color="auto"/>
                <w:left w:val="none" w:sz="0" w:space="0" w:color="auto"/>
                <w:bottom w:val="none" w:sz="0" w:space="0" w:color="auto"/>
                <w:right w:val="none" w:sz="0" w:space="0" w:color="auto"/>
              </w:divBdr>
            </w:div>
            <w:div w:id="447160136">
              <w:marLeft w:val="0"/>
              <w:marRight w:val="0"/>
              <w:marTop w:val="0"/>
              <w:marBottom w:val="0"/>
              <w:divBdr>
                <w:top w:val="none" w:sz="0" w:space="0" w:color="auto"/>
                <w:left w:val="none" w:sz="0" w:space="0" w:color="auto"/>
                <w:bottom w:val="none" w:sz="0" w:space="0" w:color="auto"/>
                <w:right w:val="none" w:sz="0" w:space="0" w:color="auto"/>
              </w:divBdr>
            </w:div>
            <w:div w:id="452097535">
              <w:marLeft w:val="0"/>
              <w:marRight w:val="0"/>
              <w:marTop w:val="0"/>
              <w:marBottom w:val="0"/>
              <w:divBdr>
                <w:top w:val="none" w:sz="0" w:space="0" w:color="auto"/>
                <w:left w:val="none" w:sz="0" w:space="0" w:color="auto"/>
                <w:bottom w:val="none" w:sz="0" w:space="0" w:color="auto"/>
                <w:right w:val="none" w:sz="0" w:space="0" w:color="auto"/>
              </w:divBdr>
            </w:div>
            <w:div w:id="555555635">
              <w:marLeft w:val="0"/>
              <w:marRight w:val="0"/>
              <w:marTop w:val="0"/>
              <w:marBottom w:val="0"/>
              <w:divBdr>
                <w:top w:val="none" w:sz="0" w:space="0" w:color="auto"/>
                <w:left w:val="none" w:sz="0" w:space="0" w:color="auto"/>
                <w:bottom w:val="none" w:sz="0" w:space="0" w:color="auto"/>
                <w:right w:val="none" w:sz="0" w:space="0" w:color="auto"/>
              </w:divBdr>
            </w:div>
            <w:div w:id="596669498">
              <w:marLeft w:val="0"/>
              <w:marRight w:val="0"/>
              <w:marTop w:val="0"/>
              <w:marBottom w:val="0"/>
              <w:divBdr>
                <w:top w:val="none" w:sz="0" w:space="0" w:color="auto"/>
                <w:left w:val="none" w:sz="0" w:space="0" w:color="auto"/>
                <w:bottom w:val="none" w:sz="0" w:space="0" w:color="auto"/>
                <w:right w:val="none" w:sz="0" w:space="0" w:color="auto"/>
              </w:divBdr>
            </w:div>
            <w:div w:id="955600368">
              <w:marLeft w:val="0"/>
              <w:marRight w:val="0"/>
              <w:marTop w:val="0"/>
              <w:marBottom w:val="0"/>
              <w:divBdr>
                <w:top w:val="none" w:sz="0" w:space="0" w:color="auto"/>
                <w:left w:val="none" w:sz="0" w:space="0" w:color="auto"/>
                <w:bottom w:val="none" w:sz="0" w:space="0" w:color="auto"/>
                <w:right w:val="none" w:sz="0" w:space="0" w:color="auto"/>
              </w:divBdr>
            </w:div>
            <w:div w:id="1056011678">
              <w:marLeft w:val="0"/>
              <w:marRight w:val="0"/>
              <w:marTop w:val="0"/>
              <w:marBottom w:val="0"/>
              <w:divBdr>
                <w:top w:val="none" w:sz="0" w:space="0" w:color="auto"/>
                <w:left w:val="none" w:sz="0" w:space="0" w:color="auto"/>
                <w:bottom w:val="none" w:sz="0" w:space="0" w:color="auto"/>
                <w:right w:val="none" w:sz="0" w:space="0" w:color="auto"/>
              </w:divBdr>
            </w:div>
            <w:div w:id="1400638372">
              <w:marLeft w:val="0"/>
              <w:marRight w:val="0"/>
              <w:marTop w:val="0"/>
              <w:marBottom w:val="0"/>
              <w:divBdr>
                <w:top w:val="none" w:sz="0" w:space="0" w:color="auto"/>
                <w:left w:val="none" w:sz="0" w:space="0" w:color="auto"/>
                <w:bottom w:val="none" w:sz="0" w:space="0" w:color="auto"/>
                <w:right w:val="none" w:sz="0" w:space="0" w:color="auto"/>
              </w:divBdr>
            </w:div>
            <w:div w:id="1633288339">
              <w:marLeft w:val="0"/>
              <w:marRight w:val="0"/>
              <w:marTop w:val="0"/>
              <w:marBottom w:val="0"/>
              <w:divBdr>
                <w:top w:val="none" w:sz="0" w:space="0" w:color="auto"/>
                <w:left w:val="none" w:sz="0" w:space="0" w:color="auto"/>
                <w:bottom w:val="none" w:sz="0" w:space="0" w:color="auto"/>
                <w:right w:val="none" w:sz="0" w:space="0" w:color="auto"/>
              </w:divBdr>
            </w:div>
            <w:div w:id="1682120756">
              <w:marLeft w:val="0"/>
              <w:marRight w:val="0"/>
              <w:marTop w:val="0"/>
              <w:marBottom w:val="0"/>
              <w:divBdr>
                <w:top w:val="none" w:sz="0" w:space="0" w:color="auto"/>
                <w:left w:val="none" w:sz="0" w:space="0" w:color="auto"/>
                <w:bottom w:val="none" w:sz="0" w:space="0" w:color="auto"/>
                <w:right w:val="none" w:sz="0" w:space="0" w:color="auto"/>
              </w:divBdr>
            </w:div>
            <w:div w:id="1876038973">
              <w:marLeft w:val="0"/>
              <w:marRight w:val="0"/>
              <w:marTop w:val="0"/>
              <w:marBottom w:val="0"/>
              <w:divBdr>
                <w:top w:val="none" w:sz="0" w:space="0" w:color="auto"/>
                <w:left w:val="none" w:sz="0" w:space="0" w:color="auto"/>
                <w:bottom w:val="none" w:sz="0" w:space="0" w:color="auto"/>
                <w:right w:val="none" w:sz="0" w:space="0" w:color="auto"/>
              </w:divBdr>
            </w:div>
            <w:div w:id="1919509468">
              <w:marLeft w:val="0"/>
              <w:marRight w:val="0"/>
              <w:marTop w:val="0"/>
              <w:marBottom w:val="0"/>
              <w:divBdr>
                <w:top w:val="none" w:sz="0" w:space="0" w:color="auto"/>
                <w:left w:val="none" w:sz="0" w:space="0" w:color="auto"/>
                <w:bottom w:val="none" w:sz="0" w:space="0" w:color="auto"/>
                <w:right w:val="none" w:sz="0" w:space="0" w:color="auto"/>
              </w:divBdr>
            </w:div>
            <w:div w:id="1922251418">
              <w:marLeft w:val="0"/>
              <w:marRight w:val="0"/>
              <w:marTop w:val="0"/>
              <w:marBottom w:val="0"/>
              <w:divBdr>
                <w:top w:val="none" w:sz="0" w:space="0" w:color="auto"/>
                <w:left w:val="none" w:sz="0" w:space="0" w:color="auto"/>
                <w:bottom w:val="none" w:sz="0" w:space="0" w:color="auto"/>
                <w:right w:val="none" w:sz="0" w:space="0" w:color="auto"/>
              </w:divBdr>
            </w:div>
            <w:div w:id="1975719660">
              <w:marLeft w:val="0"/>
              <w:marRight w:val="0"/>
              <w:marTop w:val="0"/>
              <w:marBottom w:val="0"/>
              <w:divBdr>
                <w:top w:val="none" w:sz="0" w:space="0" w:color="auto"/>
                <w:left w:val="none" w:sz="0" w:space="0" w:color="auto"/>
                <w:bottom w:val="none" w:sz="0" w:space="0" w:color="auto"/>
                <w:right w:val="none" w:sz="0" w:space="0" w:color="auto"/>
              </w:divBdr>
            </w:div>
            <w:div w:id="1992363645">
              <w:marLeft w:val="0"/>
              <w:marRight w:val="0"/>
              <w:marTop w:val="0"/>
              <w:marBottom w:val="0"/>
              <w:divBdr>
                <w:top w:val="none" w:sz="0" w:space="0" w:color="auto"/>
                <w:left w:val="none" w:sz="0" w:space="0" w:color="auto"/>
                <w:bottom w:val="none" w:sz="0" w:space="0" w:color="auto"/>
                <w:right w:val="none" w:sz="0" w:space="0" w:color="auto"/>
              </w:divBdr>
            </w:div>
            <w:div w:id="1997226705">
              <w:marLeft w:val="0"/>
              <w:marRight w:val="0"/>
              <w:marTop w:val="0"/>
              <w:marBottom w:val="0"/>
              <w:divBdr>
                <w:top w:val="none" w:sz="0" w:space="0" w:color="auto"/>
                <w:left w:val="none" w:sz="0" w:space="0" w:color="auto"/>
                <w:bottom w:val="none" w:sz="0" w:space="0" w:color="auto"/>
                <w:right w:val="none" w:sz="0" w:space="0" w:color="auto"/>
              </w:divBdr>
            </w:div>
            <w:div w:id="2085033017">
              <w:marLeft w:val="0"/>
              <w:marRight w:val="0"/>
              <w:marTop w:val="0"/>
              <w:marBottom w:val="0"/>
              <w:divBdr>
                <w:top w:val="none" w:sz="0" w:space="0" w:color="auto"/>
                <w:left w:val="none" w:sz="0" w:space="0" w:color="auto"/>
                <w:bottom w:val="none" w:sz="0" w:space="0" w:color="auto"/>
                <w:right w:val="none" w:sz="0" w:space="0" w:color="auto"/>
              </w:divBdr>
            </w:div>
            <w:div w:id="2126659208">
              <w:marLeft w:val="0"/>
              <w:marRight w:val="0"/>
              <w:marTop w:val="0"/>
              <w:marBottom w:val="0"/>
              <w:divBdr>
                <w:top w:val="none" w:sz="0" w:space="0" w:color="auto"/>
                <w:left w:val="none" w:sz="0" w:space="0" w:color="auto"/>
                <w:bottom w:val="none" w:sz="0" w:space="0" w:color="auto"/>
                <w:right w:val="none" w:sz="0" w:space="0" w:color="auto"/>
              </w:divBdr>
            </w:div>
          </w:divsChild>
        </w:div>
        <w:div w:id="776678191">
          <w:marLeft w:val="0"/>
          <w:marRight w:val="0"/>
          <w:marTop w:val="0"/>
          <w:marBottom w:val="0"/>
          <w:divBdr>
            <w:top w:val="none" w:sz="0" w:space="0" w:color="auto"/>
            <w:left w:val="none" w:sz="0" w:space="0" w:color="auto"/>
            <w:bottom w:val="none" w:sz="0" w:space="0" w:color="auto"/>
            <w:right w:val="none" w:sz="0" w:space="0" w:color="auto"/>
          </w:divBdr>
          <w:divsChild>
            <w:div w:id="578448624">
              <w:marLeft w:val="0"/>
              <w:marRight w:val="0"/>
              <w:marTop w:val="0"/>
              <w:marBottom w:val="0"/>
              <w:divBdr>
                <w:top w:val="none" w:sz="0" w:space="0" w:color="auto"/>
                <w:left w:val="none" w:sz="0" w:space="0" w:color="auto"/>
                <w:bottom w:val="none" w:sz="0" w:space="0" w:color="auto"/>
                <w:right w:val="none" w:sz="0" w:space="0" w:color="auto"/>
              </w:divBdr>
            </w:div>
            <w:div w:id="957293141">
              <w:marLeft w:val="0"/>
              <w:marRight w:val="0"/>
              <w:marTop w:val="0"/>
              <w:marBottom w:val="0"/>
              <w:divBdr>
                <w:top w:val="none" w:sz="0" w:space="0" w:color="auto"/>
                <w:left w:val="none" w:sz="0" w:space="0" w:color="auto"/>
                <w:bottom w:val="none" w:sz="0" w:space="0" w:color="auto"/>
                <w:right w:val="none" w:sz="0" w:space="0" w:color="auto"/>
              </w:divBdr>
            </w:div>
            <w:div w:id="1537113248">
              <w:marLeft w:val="0"/>
              <w:marRight w:val="0"/>
              <w:marTop w:val="0"/>
              <w:marBottom w:val="0"/>
              <w:divBdr>
                <w:top w:val="none" w:sz="0" w:space="0" w:color="auto"/>
                <w:left w:val="none" w:sz="0" w:space="0" w:color="auto"/>
                <w:bottom w:val="none" w:sz="0" w:space="0" w:color="auto"/>
                <w:right w:val="none" w:sz="0" w:space="0" w:color="auto"/>
              </w:divBdr>
            </w:div>
          </w:divsChild>
        </w:div>
        <w:div w:id="1253511114">
          <w:marLeft w:val="0"/>
          <w:marRight w:val="0"/>
          <w:marTop w:val="0"/>
          <w:marBottom w:val="0"/>
          <w:divBdr>
            <w:top w:val="none" w:sz="0" w:space="0" w:color="auto"/>
            <w:left w:val="none" w:sz="0" w:space="0" w:color="auto"/>
            <w:bottom w:val="none" w:sz="0" w:space="0" w:color="auto"/>
            <w:right w:val="none" w:sz="0" w:space="0" w:color="auto"/>
          </w:divBdr>
          <w:divsChild>
            <w:div w:id="36584469">
              <w:marLeft w:val="0"/>
              <w:marRight w:val="0"/>
              <w:marTop w:val="0"/>
              <w:marBottom w:val="0"/>
              <w:divBdr>
                <w:top w:val="none" w:sz="0" w:space="0" w:color="auto"/>
                <w:left w:val="none" w:sz="0" w:space="0" w:color="auto"/>
                <w:bottom w:val="none" w:sz="0" w:space="0" w:color="auto"/>
                <w:right w:val="none" w:sz="0" w:space="0" w:color="auto"/>
              </w:divBdr>
            </w:div>
            <w:div w:id="179776716">
              <w:marLeft w:val="0"/>
              <w:marRight w:val="0"/>
              <w:marTop w:val="0"/>
              <w:marBottom w:val="0"/>
              <w:divBdr>
                <w:top w:val="none" w:sz="0" w:space="0" w:color="auto"/>
                <w:left w:val="none" w:sz="0" w:space="0" w:color="auto"/>
                <w:bottom w:val="none" w:sz="0" w:space="0" w:color="auto"/>
                <w:right w:val="none" w:sz="0" w:space="0" w:color="auto"/>
              </w:divBdr>
            </w:div>
            <w:div w:id="356854067">
              <w:marLeft w:val="0"/>
              <w:marRight w:val="0"/>
              <w:marTop w:val="0"/>
              <w:marBottom w:val="0"/>
              <w:divBdr>
                <w:top w:val="none" w:sz="0" w:space="0" w:color="auto"/>
                <w:left w:val="none" w:sz="0" w:space="0" w:color="auto"/>
                <w:bottom w:val="none" w:sz="0" w:space="0" w:color="auto"/>
                <w:right w:val="none" w:sz="0" w:space="0" w:color="auto"/>
              </w:divBdr>
            </w:div>
            <w:div w:id="384371955">
              <w:marLeft w:val="0"/>
              <w:marRight w:val="0"/>
              <w:marTop w:val="0"/>
              <w:marBottom w:val="0"/>
              <w:divBdr>
                <w:top w:val="none" w:sz="0" w:space="0" w:color="auto"/>
                <w:left w:val="none" w:sz="0" w:space="0" w:color="auto"/>
                <w:bottom w:val="none" w:sz="0" w:space="0" w:color="auto"/>
                <w:right w:val="none" w:sz="0" w:space="0" w:color="auto"/>
              </w:divBdr>
            </w:div>
            <w:div w:id="549805640">
              <w:marLeft w:val="0"/>
              <w:marRight w:val="0"/>
              <w:marTop w:val="0"/>
              <w:marBottom w:val="0"/>
              <w:divBdr>
                <w:top w:val="none" w:sz="0" w:space="0" w:color="auto"/>
                <w:left w:val="none" w:sz="0" w:space="0" w:color="auto"/>
                <w:bottom w:val="none" w:sz="0" w:space="0" w:color="auto"/>
                <w:right w:val="none" w:sz="0" w:space="0" w:color="auto"/>
              </w:divBdr>
            </w:div>
            <w:div w:id="604968513">
              <w:marLeft w:val="0"/>
              <w:marRight w:val="0"/>
              <w:marTop w:val="0"/>
              <w:marBottom w:val="0"/>
              <w:divBdr>
                <w:top w:val="none" w:sz="0" w:space="0" w:color="auto"/>
                <w:left w:val="none" w:sz="0" w:space="0" w:color="auto"/>
                <w:bottom w:val="none" w:sz="0" w:space="0" w:color="auto"/>
                <w:right w:val="none" w:sz="0" w:space="0" w:color="auto"/>
              </w:divBdr>
            </w:div>
            <w:div w:id="621762205">
              <w:marLeft w:val="0"/>
              <w:marRight w:val="0"/>
              <w:marTop w:val="0"/>
              <w:marBottom w:val="0"/>
              <w:divBdr>
                <w:top w:val="none" w:sz="0" w:space="0" w:color="auto"/>
                <w:left w:val="none" w:sz="0" w:space="0" w:color="auto"/>
                <w:bottom w:val="none" w:sz="0" w:space="0" w:color="auto"/>
                <w:right w:val="none" w:sz="0" w:space="0" w:color="auto"/>
              </w:divBdr>
            </w:div>
            <w:div w:id="772626499">
              <w:marLeft w:val="0"/>
              <w:marRight w:val="0"/>
              <w:marTop w:val="0"/>
              <w:marBottom w:val="0"/>
              <w:divBdr>
                <w:top w:val="none" w:sz="0" w:space="0" w:color="auto"/>
                <w:left w:val="none" w:sz="0" w:space="0" w:color="auto"/>
                <w:bottom w:val="none" w:sz="0" w:space="0" w:color="auto"/>
                <w:right w:val="none" w:sz="0" w:space="0" w:color="auto"/>
              </w:divBdr>
            </w:div>
            <w:div w:id="956988909">
              <w:marLeft w:val="0"/>
              <w:marRight w:val="0"/>
              <w:marTop w:val="0"/>
              <w:marBottom w:val="0"/>
              <w:divBdr>
                <w:top w:val="none" w:sz="0" w:space="0" w:color="auto"/>
                <w:left w:val="none" w:sz="0" w:space="0" w:color="auto"/>
                <w:bottom w:val="none" w:sz="0" w:space="0" w:color="auto"/>
                <w:right w:val="none" w:sz="0" w:space="0" w:color="auto"/>
              </w:divBdr>
            </w:div>
            <w:div w:id="973415209">
              <w:marLeft w:val="0"/>
              <w:marRight w:val="0"/>
              <w:marTop w:val="0"/>
              <w:marBottom w:val="0"/>
              <w:divBdr>
                <w:top w:val="none" w:sz="0" w:space="0" w:color="auto"/>
                <w:left w:val="none" w:sz="0" w:space="0" w:color="auto"/>
                <w:bottom w:val="none" w:sz="0" w:space="0" w:color="auto"/>
                <w:right w:val="none" w:sz="0" w:space="0" w:color="auto"/>
              </w:divBdr>
            </w:div>
            <w:div w:id="1078863072">
              <w:marLeft w:val="0"/>
              <w:marRight w:val="0"/>
              <w:marTop w:val="0"/>
              <w:marBottom w:val="0"/>
              <w:divBdr>
                <w:top w:val="none" w:sz="0" w:space="0" w:color="auto"/>
                <w:left w:val="none" w:sz="0" w:space="0" w:color="auto"/>
                <w:bottom w:val="none" w:sz="0" w:space="0" w:color="auto"/>
                <w:right w:val="none" w:sz="0" w:space="0" w:color="auto"/>
              </w:divBdr>
            </w:div>
            <w:div w:id="1154031978">
              <w:marLeft w:val="0"/>
              <w:marRight w:val="0"/>
              <w:marTop w:val="0"/>
              <w:marBottom w:val="0"/>
              <w:divBdr>
                <w:top w:val="none" w:sz="0" w:space="0" w:color="auto"/>
                <w:left w:val="none" w:sz="0" w:space="0" w:color="auto"/>
                <w:bottom w:val="none" w:sz="0" w:space="0" w:color="auto"/>
                <w:right w:val="none" w:sz="0" w:space="0" w:color="auto"/>
              </w:divBdr>
            </w:div>
            <w:div w:id="1202017896">
              <w:marLeft w:val="0"/>
              <w:marRight w:val="0"/>
              <w:marTop w:val="0"/>
              <w:marBottom w:val="0"/>
              <w:divBdr>
                <w:top w:val="none" w:sz="0" w:space="0" w:color="auto"/>
                <w:left w:val="none" w:sz="0" w:space="0" w:color="auto"/>
                <w:bottom w:val="none" w:sz="0" w:space="0" w:color="auto"/>
                <w:right w:val="none" w:sz="0" w:space="0" w:color="auto"/>
              </w:divBdr>
            </w:div>
            <w:div w:id="1303845550">
              <w:marLeft w:val="0"/>
              <w:marRight w:val="0"/>
              <w:marTop w:val="0"/>
              <w:marBottom w:val="0"/>
              <w:divBdr>
                <w:top w:val="none" w:sz="0" w:space="0" w:color="auto"/>
                <w:left w:val="none" w:sz="0" w:space="0" w:color="auto"/>
                <w:bottom w:val="none" w:sz="0" w:space="0" w:color="auto"/>
                <w:right w:val="none" w:sz="0" w:space="0" w:color="auto"/>
              </w:divBdr>
            </w:div>
            <w:div w:id="1612782051">
              <w:marLeft w:val="0"/>
              <w:marRight w:val="0"/>
              <w:marTop w:val="0"/>
              <w:marBottom w:val="0"/>
              <w:divBdr>
                <w:top w:val="none" w:sz="0" w:space="0" w:color="auto"/>
                <w:left w:val="none" w:sz="0" w:space="0" w:color="auto"/>
                <w:bottom w:val="none" w:sz="0" w:space="0" w:color="auto"/>
                <w:right w:val="none" w:sz="0" w:space="0" w:color="auto"/>
              </w:divBdr>
            </w:div>
            <w:div w:id="1679962454">
              <w:marLeft w:val="0"/>
              <w:marRight w:val="0"/>
              <w:marTop w:val="0"/>
              <w:marBottom w:val="0"/>
              <w:divBdr>
                <w:top w:val="none" w:sz="0" w:space="0" w:color="auto"/>
                <w:left w:val="none" w:sz="0" w:space="0" w:color="auto"/>
                <w:bottom w:val="none" w:sz="0" w:space="0" w:color="auto"/>
                <w:right w:val="none" w:sz="0" w:space="0" w:color="auto"/>
              </w:divBdr>
            </w:div>
            <w:div w:id="1729767977">
              <w:marLeft w:val="0"/>
              <w:marRight w:val="0"/>
              <w:marTop w:val="0"/>
              <w:marBottom w:val="0"/>
              <w:divBdr>
                <w:top w:val="none" w:sz="0" w:space="0" w:color="auto"/>
                <w:left w:val="none" w:sz="0" w:space="0" w:color="auto"/>
                <w:bottom w:val="none" w:sz="0" w:space="0" w:color="auto"/>
                <w:right w:val="none" w:sz="0" w:space="0" w:color="auto"/>
              </w:divBdr>
            </w:div>
            <w:div w:id="1734545138">
              <w:marLeft w:val="0"/>
              <w:marRight w:val="0"/>
              <w:marTop w:val="0"/>
              <w:marBottom w:val="0"/>
              <w:divBdr>
                <w:top w:val="none" w:sz="0" w:space="0" w:color="auto"/>
                <w:left w:val="none" w:sz="0" w:space="0" w:color="auto"/>
                <w:bottom w:val="none" w:sz="0" w:space="0" w:color="auto"/>
                <w:right w:val="none" w:sz="0" w:space="0" w:color="auto"/>
              </w:divBdr>
            </w:div>
            <w:div w:id="1791968699">
              <w:marLeft w:val="0"/>
              <w:marRight w:val="0"/>
              <w:marTop w:val="0"/>
              <w:marBottom w:val="0"/>
              <w:divBdr>
                <w:top w:val="none" w:sz="0" w:space="0" w:color="auto"/>
                <w:left w:val="none" w:sz="0" w:space="0" w:color="auto"/>
                <w:bottom w:val="none" w:sz="0" w:space="0" w:color="auto"/>
                <w:right w:val="none" w:sz="0" w:space="0" w:color="auto"/>
              </w:divBdr>
            </w:div>
            <w:div w:id="1797212824">
              <w:marLeft w:val="0"/>
              <w:marRight w:val="0"/>
              <w:marTop w:val="0"/>
              <w:marBottom w:val="0"/>
              <w:divBdr>
                <w:top w:val="none" w:sz="0" w:space="0" w:color="auto"/>
                <w:left w:val="none" w:sz="0" w:space="0" w:color="auto"/>
                <w:bottom w:val="none" w:sz="0" w:space="0" w:color="auto"/>
                <w:right w:val="none" w:sz="0" w:space="0" w:color="auto"/>
              </w:divBdr>
            </w:div>
          </w:divsChild>
        </w:div>
        <w:div w:id="1598362148">
          <w:marLeft w:val="0"/>
          <w:marRight w:val="0"/>
          <w:marTop w:val="0"/>
          <w:marBottom w:val="0"/>
          <w:divBdr>
            <w:top w:val="none" w:sz="0" w:space="0" w:color="auto"/>
            <w:left w:val="none" w:sz="0" w:space="0" w:color="auto"/>
            <w:bottom w:val="none" w:sz="0" w:space="0" w:color="auto"/>
            <w:right w:val="none" w:sz="0" w:space="0" w:color="auto"/>
          </w:divBdr>
        </w:div>
        <w:div w:id="1893082104">
          <w:marLeft w:val="0"/>
          <w:marRight w:val="0"/>
          <w:marTop w:val="0"/>
          <w:marBottom w:val="0"/>
          <w:divBdr>
            <w:top w:val="none" w:sz="0" w:space="0" w:color="auto"/>
            <w:left w:val="none" w:sz="0" w:space="0" w:color="auto"/>
            <w:bottom w:val="none" w:sz="0" w:space="0" w:color="auto"/>
            <w:right w:val="none" w:sz="0" w:space="0" w:color="auto"/>
          </w:divBdr>
        </w:div>
      </w:divsChild>
    </w:div>
    <w:div w:id="1174031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8858341">
      <w:bodyDiv w:val="1"/>
      <w:marLeft w:val="0"/>
      <w:marRight w:val="0"/>
      <w:marTop w:val="0"/>
      <w:marBottom w:val="0"/>
      <w:divBdr>
        <w:top w:val="none" w:sz="0" w:space="0" w:color="auto"/>
        <w:left w:val="none" w:sz="0" w:space="0" w:color="auto"/>
        <w:bottom w:val="none" w:sz="0" w:space="0" w:color="auto"/>
        <w:right w:val="none" w:sz="0" w:space="0" w:color="auto"/>
      </w:divBdr>
    </w:div>
    <w:div w:id="1315573644">
      <w:bodyDiv w:val="1"/>
      <w:marLeft w:val="0"/>
      <w:marRight w:val="0"/>
      <w:marTop w:val="0"/>
      <w:marBottom w:val="0"/>
      <w:divBdr>
        <w:top w:val="none" w:sz="0" w:space="0" w:color="auto"/>
        <w:left w:val="none" w:sz="0" w:space="0" w:color="auto"/>
        <w:bottom w:val="none" w:sz="0" w:space="0" w:color="auto"/>
        <w:right w:val="none" w:sz="0" w:space="0" w:color="auto"/>
      </w:divBdr>
    </w:div>
    <w:div w:id="1510483514">
      <w:bodyDiv w:val="1"/>
      <w:marLeft w:val="0"/>
      <w:marRight w:val="0"/>
      <w:marTop w:val="0"/>
      <w:marBottom w:val="0"/>
      <w:divBdr>
        <w:top w:val="none" w:sz="0" w:space="0" w:color="auto"/>
        <w:left w:val="none" w:sz="0" w:space="0" w:color="auto"/>
        <w:bottom w:val="none" w:sz="0" w:space="0" w:color="auto"/>
        <w:right w:val="none" w:sz="0" w:space="0" w:color="auto"/>
      </w:divBdr>
    </w:div>
    <w:div w:id="1557625113">
      <w:bodyDiv w:val="1"/>
      <w:marLeft w:val="0"/>
      <w:marRight w:val="0"/>
      <w:marTop w:val="0"/>
      <w:marBottom w:val="0"/>
      <w:divBdr>
        <w:top w:val="none" w:sz="0" w:space="0" w:color="auto"/>
        <w:left w:val="none" w:sz="0" w:space="0" w:color="auto"/>
        <w:bottom w:val="none" w:sz="0" w:space="0" w:color="auto"/>
        <w:right w:val="none" w:sz="0" w:space="0" w:color="auto"/>
      </w:divBdr>
      <w:divsChild>
        <w:div w:id="25983515">
          <w:marLeft w:val="0"/>
          <w:marRight w:val="0"/>
          <w:marTop w:val="0"/>
          <w:marBottom w:val="0"/>
          <w:divBdr>
            <w:top w:val="none" w:sz="0" w:space="0" w:color="auto"/>
            <w:left w:val="none" w:sz="0" w:space="0" w:color="auto"/>
            <w:bottom w:val="none" w:sz="0" w:space="0" w:color="auto"/>
            <w:right w:val="none" w:sz="0" w:space="0" w:color="auto"/>
          </w:divBdr>
        </w:div>
        <w:div w:id="360323370">
          <w:marLeft w:val="0"/>
          <w:marRight w:val="0"/>
          <w:marTop w:val="0"/>
          <w:marBottom w:val="0"/>
          <w:divBdr>
            <w:top w:val="none" w:sz="0" w:space="0" w:color="auto"/>
            <w:left w:val="none" w:sz="0" w:space="0" w:color="auto"/>
            <w:bottom w:val="none" w:sz="0" w:space="0" w:color="auto"/>
            <w:right w:val="none" w:sz="0" w:space="0" w:color="auto"/>
          </w:divBdr>
        </w:div>
      </w:divsChild>
    </w:div>
    <w:div w:id="1746220768">
      <w:bodyDiv w:val="1"/>
      <w:marLeft w:val="0"/>
      <w:marRight w:val="0"/>
      <w:marTop w:val="0"/>
      <w:marBottom w:val="0"/>
      <w:divBdr>
        <w:top w:val="none" w:sz="0" w:space="0" w:color="auto"/>
        <w:left w:val="none" w:sz="0" w:space="0" w:color="auto"/>
        <w:bottom w:val="none" w:sz="0" w:space="0" w:color="auto"/>
        <w:right w:val="none" w:sz="0" w:space="0" w:color="auto"/>
      </w:divBdr>
      <w:divsChild>
        <w:div w:id="448399051">
          <w:marLeft w:val="1166"/>
          <w:marRight w:val="0"/>
          <w:marTop w:val="0"/>
          <w:marBottom w:val="120"/>
          <w:divBdr>
            <w:top w:val="none" w:sz="0" w:space="0" w:color="auto"/>
            <w:left w:val="none" w:sz="0" w:space="0" w:color="auto"/>
            <w:bottom w:val="none" w:sz="0" w:space="0" w:color="auto"/>
            <w:right w:val="none" w:sz="0" w:space="0" w:color="auto"/>
          </w:divBdr>
        </w:div>
        <w:div w:id="805467323">
          <w:marLeft w:val="1166"/>
          <w:marRight w:val="0"/>
          <w:marTop w:val="0"/>
          <w:marBottom w:val="120"/>
          <w:divBdr>
            <w:top w:val="none" w:sz="0" w:space="0" w:color="auto"/>
            <w:left w:val="none" w:sz="0" w:space="0" w:color="auto"/>
            <w:bottom w:val="none" w:sz="0" w:space="0" w:color="auto"/>
            <w:right w:val="none" w:sz="0" w:space="0" w:color="auto"/>
          </w:divBdr>
        </w:div>
        <w:div w:id="1804495295">
          <w:marLeft w:val="1166"/>
          <w:marRight w:val="0"/>
          <w:marTop w:val="0"/>
          <w:marBottom w:val="120"/>
          <w:divBdr>
            <w:top w:val="none" w:sz="0" w:space="0" w:color="auto"/>
            <w:left w:val="none" w:sz="0" w:space="0" w:color="auto"/>
            <w:bottom w:val="none" w:sz="0" w:space="0" w:color="auto"/>
            <w:right w:val="none" w:sz="0" w:space="0" w:color="auto"/>
          </w:divBdr>
        </w:div>
      </w:divsChild>
    </w:div>
    <w:div w:id="1807508853">
      <w:bodyDiv w:val="1"/>
      <w:marLeft w:val="0"/>
      <w:marRight w:val="0"/>
      <w:marTop w:val="0"/>
      <w:marBottom w:val="0"/>
      <w:divBdr>
        <w:top w:val="none" w:sz="0" w:space="0" w:color="auto"/>
        <w:left w:val="none" w:sz="0" w:space="0" w:color="auto"/>
        <w:bottom w:val="none" w:sz="0" w:space="0" w:color="auto"/>
        <w:right w:val="none" w:sz="0" w:space="0" w:color="auto"/>
      </w:divBdr>
    </w:div>
    <w:div w:id="1856579395">
      <w:bodyDiv w:val="1"/>
      <w:marLeft w:val="0"/>
      <w:marRight w:val="0"/>
      <w:marTop w:val="0"/>
      <w:marBottom w:val="0"/>
      <w:divBdr>
        <w:top w:val="none" w:sz="0" w:space="0" w:color="auto"/>
        <w:left w:val="none" w:sz="0" w:space="0" w:color="auto"/>
        <w:bottom w:val="none" w:sz="0" w:space="0" w:color="auto"/>
        <w:right w:val="none" w:sz="0" w:space="0" w:color="auto"/>
      </w:divBdr>
      <w:divsChild>
        <w:div w:id="49496916">
          <w:marLeft w:val="0"/>
          <w:marRight w:val="0"/>
          <w:marTop w:val="0"/>
          <w:marBottom w:val="0"/>
          <w:divBdr>
            <w:top w:val="none" w:sz="0" w:space="0" w:color="auto"/>
            <w:left w:val="none" w:sz="0" w:space="0" w:color="auto"/>
            <w:bottom w:val="none" w:sz="0" w:space="0" w:color="auto"/>
            <w:right w:val="none" w:sz="0" w:space="0" w:color="auto"/>
          </w:divBdr>
        </w:div>
        <w:div w:id="95492025">
          <w:marLeft w:val="0"/>
          <w:marRight w:val="0"/>
          <w:marTop w:val="0"/>
          <w:marBottom w:val="0"/>
          <w:divBdr>
            <w:top w:val="none" w:sz="0" w:space="0" w:color="auto"/>
            <w:left w:val="none" w:sz="0" w:space="0" w:color="auto"/>
            <w:bottom w:val="none" w:sz="0" w:space="0" w:color="auto"/>
            <w:right w:val="none" w:sz="0" w:space="0" w:color="auto"/>
          </w:divBdr>
        </w:div>
        <w:div w:id="128982098">
          <w:marLeft w:val="0"/>
          <w:marRight w:val="0"/>
          <w:marTop w:val="0"/>
          <w:marBottom w:val="0"/>
          <w:divBdr>
            <w:top w:val="none" w:sz="0" w:space="0" w:color="auto"/>
            <w:left w:val="none" w:sz="0" w:space="0" w:color="auto"/>
            <w:bottom w:val="none" w:sz="0" w:space="0" w:color="auto"/>
            <w:right w:val="none" w:sz="0" w:space="0" w:color="auto"/>
          </w:divBdr>
        </w:div>
        <w:div w:id="130443422">
          <w:marLeft w:val="0"/>
          <w:marRight w:val="0"/>
          <w:marTop w:val="0"/>
          <w:marBottom w:val="0"/>
          <w:divBdr>
            <w:top w:val="none" w:sz="0" w:space="0" w:color="auto"/>
            <w:left w:val="none" w:sz="0" w:space="0" w:color="auto"/>
            <w:bottom w:val="none" w:sz="0" w:space="0" w:color="auto"/>
            <w:right w:val="none" w:sz="0" w:space="0" w:color="auto"/>
          </w:divBdr>
        </w:div>
        <w:div w:id="154423147">
          <w:marLeft w:val="0"/>
          <w:marRight w:val="0"/>
          <w:marTop w:val="0"/>
          <w:marBottom w:val="0"/>
          <w:divBdr>
            <w:top w:val="none" w:sz="0" w:space="0" w:color="auto"/>
            <w:left w:val="none" w:sz="0" w:space="0" w:color="auto"/>
            <w:bottom w:val="none" w:sz="0" w:space="0" w:color="auto"/>
            <w:right w:val="none" w:sz="0" w:space="0" w:color="auto"/>
          </w:divBdr>
        </w:div>
        <w:div w:id="176701201">
          <w:marLeft w:val="0"/>
          <w:marRight w:val="0"/>
          <w:marTop w:val="0"/>
          <w:marBottom w:val="0"/>
          <w:divBdr>
            <w:top w:val="none" w:sz="0" w:space="0" w:color="auto"/>
            <w:left w:val="none" w:sz="0" w:space="0" w:color="auto"/>
            <w:bottom w:val="none" w:sz="0" w:space="0" w:color="auto"/>
            <w:right w:val="none" w:sz="0" w:space="0" w:color="auto"/>
          </w:divBdr>
        </w:div>
        <w:div w:id="230891587">
          <w:marLeft w:val="0"/>
          <w:marRight w:val="0"/>
          <w:marTop w:val="0"/>
          <w:marBottom w:val="0"/>
          <w:divBdr>
            <w:top w:val="none" w:sz="0" w:space="0" w:color="auto"/>
            <w:left w:val="none" w:sz="0" w:space="0" w:color="auto"/>
            <w:bottom w:val="none" w:sz="0" w:space="0" w:color="auto"/>
            <w:right w:val="none" w:sz="0" w:space="0" w:color="auto"/>
          </w:divBdr>
        </w:div>
        <w:div w:id="238097289">
          <w:marLeft w:val="0"/>
          <w:marRight w:val="0"/>
          <w:marTop w:val="0"/>
          <w:marBottom w:val="0"/>
          <w:divBdr>
            <w:top w:val="none" w:sz="0" w:space="0" w:color="auto"/>
            <w:left w:val="none" w:sz="0" w:space="0" w:color="auto"/>
            <w:bottom w:val="none" w:sz="0" w:space="0" w:color="auto"/>
            <w:right w:val="none" w:sz="0" w:space="0" w:color="auto"/>
          </w:divBdr>
        </w:div>
        <w:div w:id="243418012">
          <w:marLeft w:val="0"/>
          <w:marRight w:val="0"/>
          <w:marTop w:val="0"/>
          <w:marBottom w:val="0"/>
          <w:divBdr>
            <w:top w:val="none" w:sz="0" w:space="0" w:color="auto"/>
            <w:left w:val="none" w:sz="0" w:space="0" w:color="auto"/>
            <w:bottom w:val="none" w:sz="0" w:space="0" w:color="auto"/>
            <w:right w:val="none" w:sz="0" w:space="0" w:color="auto"/>
          </w:divBdr>
        </w:div>
        <w:div w:id="279073166">
          <w:marLeft w:val="0"/>
          <w:marRight w:val="0"/>
          <w:marTop w:val="0"/>
          <w:marBottom w:val="0"/>
          <w:divBdr>
            <w:top w:val="none" w:sz="0" w:space="0" w:color="auto"/>
            <w:left w:val="none" w:sz="0" w:space="0" w:color="auto"/>
            <w:bottom w:val="none" w:sz="0" w:space="0" w:color="auto"/>
            <w:right w:val="none" w:sz="0" w:space="0" w:color="auto"/>
          </w:divBdr>
        </w:div>
        <w:div w:id="306514099">
          <w:marLeft w:val="0"/>
          <w:marRight w:val="0"/>
          <w:marTop w:val="0"/>
          <w:marBottom w:val="0"/>
          <w:divBdr>
            <w:top w:val="none" w:sz="0" w:space="0" w:color="auto"/>
            <w:left w:val="none" w:sz="0" w:space="0" w:color="auto"/>
            <w:bottom w:val="none" w:sz="0" w:space="0" w:color="auto"/>
            <w:right w:val="none" w:sz="0" w:space="0" w:color="auto"/>
          </w:divBdr>
        </w:div>
        <w:div w:id="307900559">
          <w:marLeft w:val="0"/>
          <w:marRight w:val="0"/>
          <w:marTop w:val="0"/>
          <w:marBottom w:val="0"/>
          <w:divBdr>
            <w:top w:val="none" w:sz="0" w:space="0" w:color="auto"/>
            <w:left w:val="none" w:sz="0" w:space="0" w:color="auto"/>
            <w:bottom w:val="none" w:sz="0" w:space="0" w:color="auto"/>
            <w:right w:val="none" w:sz="0" w:space="0" w:color="auto"/>
          </w:divBdr>
        </w:div>
        <w:div w:id="420957711">
          <w:marLeft w:val="0"/>
          <w:marRight w:val="0"/>
          <w:marTop w:val="0"/>
          <w:marBottom w:val="0"/>
          <w:divBdr>
            <w:top w:val="none" w:sz="0" w:space="0" w:color="auto"/>
            <w:left w:val="none" w:sz="0" w:space="0" w:color="auto"/>
            <w:bottom w:val="none" w:sz="0" w:space="0" w:color="auto"/>
            <w:right w:val="none" w:sz="0" w:space="0" w:color="auto"/>
          </w:divBdr>
        </w:div>
        <w:div w:id="443890962">
          <w:marLeft w:val="0"/>
          <w:marRight w:val="0"/>
          <w:marTop w:val="0"/>
          <w:marBottom w:val="0"/>
          <w:divBdr>
            <w:top w:val="none" w:sz="0" w:space="0" w:color="auto"/>
            <w:left w:val="none" w:sz="0" w:space="0" w:color="auto"/>
            <w:bottom w:val="none" w:sz="0" w:space="0" w:color="auto"/>
            <w:right w:val="none" w:sz="0" w:space="0" w:color="auto"/>
          </w:divBdr>
        </w:div>
        <w:div w:id="496268046">
          <w:marLeft w:val="0"/>
          <w:marRight w:val="0"/>
          <w:marTop w:val="0"/>
          <w:marBottom w:val="0"/>
          <w:divBdr>
            <w:top w:val="none" w:sz="0" w:space="0" w:color="auto"/>
            <w:left w:val="none" w:sz="0" w:space="0" w:color="auto"/>
            <w:bottom w:val="none" w:sz="0" w:space="0" w:color="auto"/>
            <w:right w:val="none" w:sz="0" w:space="0" w:color="auto"/>
          </w:divBdr>
        </w:div>
        <w:div w:id="589581018">
          <w:marLeft w:val="0"/>
          <w:marRight w:val="0"/>
          <w:marTop w:val="0"/>
          <w:marBottom w:val="0"/>
          <w:divBdr>
            <w:top w:val="none" w:sz="0" w:space="0" w:color="auto"/>
            <w:left w:val="none" w:sz="0" w:space="0" w:color="auto"/>
            <w:bottom w:val="none" w:sz="0" w:space="0" w:color="auto"/>
            <w:right w:val="none" w:sz="0" w:space="0" w:color="auto"/>
          </w:divBdr>
        </w:div>
        <w:div w:id="763722320">
          <w:marLeft w:val="0"/>
          <w:marRight w:val="0"/>
          <w:marTop w:val="0"/>
          <w:marBottom w:val="0"/>
          <w:divBdr>
            <w:top w:val="none" w:sz="0" w:space="0" w:color="auto"/>
            <w:left w:val="none" w:sz="0" w:space="0" w:color="auto"/>
            <w:bottom w:val="none" w:sz="0" w:space="0" w:color="auto"/>
            <w:right w:val="none" w:sz="0" w:space="0" w:color="auto"/>
          </w:divBdr>
        </w:div>
        <w:div w:id="842668800">
          <w:marLeft w:val="0"/>
          <w:marRight w:val="0"/>
          <w:marTop w:val="0"/>
          <w:marBottom w:val="0"/>
          <w:divBdr>
            <w:top w:val="none" w:sz="0" w:space="0" w:color="auto"/>
            <w:left w:val="none" w:sz="0" w:space="0" w:color="auto"/>
            <w:bottom w:val="none" w:sz="0" w:space="0" w:color="auto"/>
            <w:right w:val="none" w:sz="0" w:space="0" w:color="auto"/>
          </w:divBdr>
        </w:div>
        <w:div w:id="903564040">
          <w:marLeft w:val="0"/>
          <w:marRight w:val="0"/>
          <w:marTop w:val="0"/>
          <w:marBottom w:val="0"/>
          <w:divBdr>
            <w:top w:val="none" w:sz="0" w:space="0" w:color="auto"/>
            <w:left w:val="none" w:sz="0" w:space="0" w:color="auto"/>
            <w:bottom w:val="none" w:sz="0" w:space="0" w:color="auto"/>
            <w:right w:val="none" w:sz="0" w:space="0" w:color="auto"/>
          </w:divBdr>
        </w:div>
        <w:div w:id="1004748934">
          <w:marLeft w:val="0"/>
          <w:marRight w:val="0"/>
          <w:marTop w:val="0"/>
          <w:marBottom w:val="0"/>
          <w:divBdr>
            <w:top w:val="none" w:sz="0" w:space="0" w:color="auto"/>
            <w:left w:val="none" w:sz="0" w:space="0" w:color="auto"/>
            <w:bottom w:val="none" w:sz="0" w:space="0" w:color="auto"/>
            <w:right w:val="none" w:sz="0" w:space="0" w:color="auto"/>
          </w:divBdr>
        </w:div>
        <w:div w:id="1082721834">
          <w:marLeft w:val="0"/>
          <w:marRight w:val="0"/>
          <w:marTop w:val="0"/>
          <w:marBottom w:val="0"/>
          <w:divBdr>
            <w:top w:val="none" w:sz="0" w:space="0" w:color="auto"/>
            <w:left w:val="none" w:sz="0" w:space="0" w:color="auto"/>
            <w:bottom w:val="none" w:sz="0" w:space="0" w:color="auto"/>
            <w:right w:val="none" w:sz="0" w:space="0" w:color="auto"/>
          </w:divBdr>
        </w:div>
        <w:div w:id="1133521613">
          <w:marLeft w:val="0"/>
          <w:marRight w:val="0"/>
          <w:marTop w:val="0"/>
          <w:marBottom w:val="0"/>
          <w:divBdr>
            <w:top w:val="none" w:sz="0" w:space="0" w:color="auto"/>
            <w:left w:val="none" w:sz="0" w:space="0" w:color="auto"/>
            <w:bottom w:val="none" w:sz="0" w:space="0" w:color="auto"/>
            <w:right w:val="none" w:sz="0" w:space="0" w:color="auto"/>
          </w:divBdr>
        </w:div>
        <w:div w:id="1153060486">
          <w:marLeft w:val="0"/>
          <w:marRight w:val="0"/>
          <w:marTop w:val="0"/>
          <w:marBottom w:val="0"/>
          <w:divBdr>
            <w:top w:val="none" w:sz="0" w:space="0" w:color="auto"/>
            <w:left w:val="none" w:sz="0" w:space="0" w:color="auto"/>
            <w:bottom w:val="none" w:sz="0" w:space="0" w:color="auto"/>
            <w:right w:val="none" w:sz="0" w:space="0" w:color="auto"/>
          </w:divBdr>
        </w:div>
        <w:div w:id="1376345127">
          <w:marLeft w:val="0"/>
          <w:marRight w:val="0"/>
          <w:marTop w:val="0"/>
          <w:marBottom w:val="0"/>
          <w:divBdr>
            <w:top w:val="none" w:sz="0" w:space="0" w:color="auto"/>
            <w:left w:val="none" w:sz="0" w:space="0" w:color="auto"/>
            <w:bottom w:val="none" w:sz="0" w:space="0" w:color="auto"/>
            <w:right w:val="none" w:sz="0" w:space="0" w:color="auto"/>
          </w:divBdr>
        </w:div>
        <w:div w:id="1393504877">
          <w:marLeft w:val="0"/>
          <w:marRight w:val="0"/>
          <w:marTop w:val="0"/>
          <w:marBottom w:val="0"/>
          <w:divBdr>
            <w:top w:val="none" w:sz="0" w:space="0" w:color="auto"/>
            <w:left w:val="none" w:sz="0" w:space="0" w:color="auto"/>
            <w:bottom w:val="none" w:sz="0" w:space="0" w:color="auto"/>
            <w:right w:val="none" w:sz="0" w:space="0" w:color="auto"/>
          </w:divBdr>
        </w:div>
        <w:div w:id="1426657878">
          <w:marLeft w:val="0"/>
          <w:marRight w:val="0"/>
          <w:marTop w:val="0"/>
          <w:marBottom w:val="0"/>
          <w:divBdr>
            <w:top w:val="none" w:sz="0" w:space="0" w:color="auto"/>
            <w:left w:val="none" w:sz="0" w:space="0" w:color="auto"/>
            <w:bottom w:val="none" w:sz="0" w:space="0" w:color="auto"/>
            <w:right w:val="none" w:sz="0" w:space="0" w:color="auto"/>
          </w:divBdr>
        </w:div>
        <w:div w:id="1450660751">
          <w:marLeft w:val="0"/>
          <w:marRight w:val="0"/>
          <w:marTop w:val="0"/>
          <w:marBottom w:val="0"/>
          <w:divBdr>
            <w:top w:val="none" w:sz="0" w:space="0" w:color="auto"/>
            <w:left w:val="none" w:sz="0" w:space="0" w:color="auto"/>
            <w:bottom w:val="none" w:sz="0" w:space="0" w:color="auto"/>
            <w:right w:val="none" w:sz="0" w:space="0" w:color="auto"/>
          </w:divBdr>
        </w:div>
        <w:div w:id="1534808431">
          <w:marLeft w:val="0"/>
          <w:marRight w:val="0"/>
          <w:marTop w:val="0"/>
          <w:marBottom w:val="0"/>
          <w:divBdr>
            <w:top w:val="none" w:sz="0" w:space="0" w:color="auto"/>
            <w:left w:val="none" w:sz="0" w:space="0" w:color="auto"/>
            <w:bottom w:val="none" w:sz="0" w:space="0" w:color="auto"/>
            <w:right w:val="none" w:sz="0" w:space="0" w:color="auto"/>
          </w:divBdr>
        </w:div>
        <w:div w:id="1534928089">
          <w:marLeft w:val="0"/>
          <w:marRight w:val="0"/>
          <w:marTop w:val="0"/>
          <w:marBottom w:val="0"/>
          <w:divBdr>
            <w:top w:val="none" w:sz="0" w:space="0" w:color="auto"/>
            <w:left w:val="none" w:sz="0" w:space="0" w:color="auto"/>
            <w:bottom w:val="none" w:sz="0" w:space="0" w:color="auto"/>
            <w:right w:val="none" w:sz="0" w:space="0" w:color="auto"/>
          </w:divBdr>
        </w:div>
        <w:div w:id="1554268755">
          <w:marLeft w:val="0"/>
          <w:marRight w:val="0"/>
          <w:marTop w:val="0"/>
          <w:marBottom w:val="0"/>
          <w:divBdr>
            <w:top w:val="none" w:sz="0" w:space="0" w:color="auto"/>
            <w:left w:val="none" w:sz="0" w:space="0" w:color="auto"/>
            <w:bottom w:val="none" w:sz="0" w:space="0" w:color="auto"/>
            <w:right w:val="none" w:sz="0" w:space="0" w:color="auto"/>
          </w:divBdr>
        </w:div>
        <w:div w:id="1558974081">
          <w:marLeft w:val="0"/>
          <w:marRight w:val="0"/>
          <w:marTop w:val="0"/>
          <w:marBottom w:val="0"/>
          <w:divBdr>
            <w:top w:val="none" w:sz="0" w:space="0" w:color="auto"/>
            <w:left w:val="none" w:sz="0" w:space="0" w:color="auto"/>
            <w:bottom w:val="none" w:sz="0" w:space="0" w:color="auto"/>
            <w:right w:val="none" w:sz="0" w:space="0" w:color="auto"/>
          </w:divBdr>
        </w:div>
        <w:div w:id="1591305722">
          <w:marLeft w:val="0"/>
          <w:marRight w:val="0"/>
          <w:marTop w:val="0"/>
          <w:marBottom w:val="0"/>
          <w:divBdr>
            <w:top w:val="none" w:sz="0" w:space="0" w:color="auto"/>
            <w:left w:val="none" w:sz="0" w:space="0" w:color="auto"/>
            <w:bottom w:val="none" w:sz="0" w:space="0" w:color="auto"/>
            <w:right w:val="none" w:sz="0" w:space="0" w:color="auto"/>
          </w:divBdr>
        </w:div>
        <w:div w:id="1601329898">
          <w:marLeft w:val="0"/>
          <w:marRight w:val="0"/>
          <w:marTop w:val="0"/>
          <w:marBottom w:val="0"/>
          <w:divBdr>
            <w:top w:val="none" w:sz="0" w:space="0" w:color="auto"/>
            <w:left w:val="none" w:sz="0" w:space="0" w:color="auto"/>
            <w:bottom w:val="none" w:sz="0" w:space="0" w:color="auto"/>
            <w:right w:val="none" w:sz="0" w:space="0" w:color="auto"/>
          </w:divBdr>
        </w:div>
        <w:div w:id="1627158786">
          <w:marLeft w:val="0"/>
          <w:marRight w:val="0"/>
          <w:marTop w:val="0"/>
          <w:marBottom w:val="0"/>
          <w:divBdr>
            <w:top w:val="none" w:sz="0" w:space="0" w:color="auto"/>
            <w:left w:val="none" w:sz="0" w:space="0" w:color="auto"/>
            <w:bottom w:val="none" w:sz="0" w:space="0" w:color="auto"/>
            <w:right w:val="none" w:sz="0" w:space="0" w:color="auto"/>
          </w:divBdr>
        </w:div>
        <w:div w:id="1637904807">
          <w:marLeft w:val="0"/>
          <w:marRight w:val="0"/>
          <w:marTop w:val="0"/>
          <w:marBottom w:val="0"/>
          <w:divBdr>
            <w:top w:val="none" w:sz="0" w:space="0" w:color="auto"/>
            <w:left w:val="none" w:sz="0" w:space="0" w:color="auto"/>
            <w:bottom w:val="none" w:sz="0" w:space="0" w:color="auto"/>
            <w:right w:val="none" w:sz="0" w:space="0" w:color="auto"/>
          </w:divBdr>
        </w:div>
        <w:div w:id="1663506289">
          <w:marLeft w:val="0"/>
          <w:marRight w:val="0"/>
          <w:marTop w:val="0"/>
          <w:marBottom w:val="0"/>
          <w:divBdr>
            <w:top w:val="none" w:sz="0" w:space="0" w:color="auto"/>
            <w:left w:val="none" w:sz="0" w:space="0" w:color="auto"/>
            <w:bottom w:val="none" w:sz="0" w:space="0" w:color="auto"/>
            <w:right w:val="none" w:sz="0" w:space="0" w:color="auto"/>
          </w:divBdr>
        </w:div>
        <w:div w:id="1732656151">
          <w:marLeft w:val="0"/>
          <w:marRight w:val="0"/>
          <w:marTop w:val="0"/>
          <w:marBottom w:val="0"/>
          <w:divBdr>
            <w:top w:val="none" w:sz="0" w:space="0" w:color="auto"/>
            <w:left w:val="none" w:sz="0" w:space="0" w:color="auto"/>
            <w:bottom w:val="none" w:sz="0" w:space="0" w:color="auto"/>
            <w:right w:val="none" w:sz="0" w:space="0" w:color="auto"/>
          </w:divBdr>
        </w:div>
        <w:div w:id="1840271442">
          <w:marLeft w:val="0"/>
          <w:marRight w:val="0"/>
          <w:marTop w:val="0"/>
          <w:marBottom w:val="0"/>
          <w:divBdr>
            <w:top w:val="none" w:sz="0" w:space="0" w:color="auto"/>
            <w:left w:val="none" w:sz="0" w:space="0" w:color="auto"/>
            <w:bottom w:val="none" w:sz="0" w:space="0" w:color="auto"/>
            <w:right w:val="none" w:sz="0" w:space="0" w:color="auto"/>
          </w:divBdr>
        </w:div>
        <w:div w:id="1907763389">
          <w:marLeft w:val="0"/>
          <w:marRight w:val="0"/>
          <w:marTop w:val="0"/>
          <w:marBottom w:val="0"/>
          <w:divBdr>
            <w:top w:val="none" w:sz="0" w:space="0" w:color="auto"/>
            <w:left w:val="none" w:sz="0" w:space="0" w:color="auto"/>
            <w:bottom w:val="none" w:sz="0" w:space="0" w:color="auto"/>
            <w:right w:val="none" w:sz="0" w:space="0" w:color="auto"/>
          </w:divBdr>
        </w:div>
        <w:div w:id="1914193497">
          <w:marLeft w:val="0"/>
          <w:marRight w:val="0"/>
          <w:marTop w:val="0"/>
          <w:marBottom w:val="0"/>
          <w:divBdr>
            <w:top w:val="none" w:sz="0" w:space="0" w:color="auto"/>
            <w:left w:val="none" w:sz="0" w:space="0" w:color="auto"/>
            <w:bottom w:val="none" w:sz="0" w:space="0" w:color="auto"/>
            <w:right w:val="none" w:sz="0" w:space="0" w:color="auto"/>
          </w:divBdr>
        </w:div>
        <w:div w:id="1920363232">
          <w:marLeft w:val="0"/>
          <w:marRight w:val="0"/>
          <w:marTop w:val="0"/>
          <w:marBottom w:val="0"/>
          <w:divBdr>
            <w:top w:val="none" w:sz="0" w:space="0" w:color="auto"/>
            <w:left w:val="none" w:sz="0" w:space="0" w:color="auto"/>
            <w:bottom w:val="none" w:sz="0" w:space="0" w:color="auto"/>
            <w:right w:val="none" w:sz="0" w:space="0" w:color="auto"/>
          </w:divBdr>
        </w:div>
        <w:div w:id="1937901273">
          <w:marLeft w:val="0"/>
          <w:marRight w:val="0"/>
          <w:marTop w:val="0"/>
          <w:marBottom w:val="0"/>
          <w:divBdr>
            <w:top w:val="none" w:sz="0" w:space="0" w:color="auto"/>
            <w:left w:val="none" w:sz="0" w:space="0" w:color="auto"/>
            <w:bottom w:val="none" w:sz="0" w:space="0" w:color="auto"/>
            <w:right w:val="none" w:sz="0" w:space="0" w:color="auto"/>
          </w:divBdr>
        </w:div>
        <w:div w:id="1991254263">
          <w:marLeft w:val="0"/>
          <w:marRight w:val="0"/>
          <w:marTop w:val="0"/>
          <w:marBottom w:val="0"/>
          <w:divBdr>
            <w:top w:val="none" w:sz="0" w:space="0" w:color="auto"/>
            <w:left w:val="none" w:sz="0" w:space="0" w:color="auto"/>
            <w:bottom w:val="none" w:sz="0" w:space="0" w:color="auto"/>
            <w:right w:val="none" w:sz="0" w:space="0" w:color="auto"/>
          </w:divBdr>
        </w:div>
        <w:div w:id="2082672391">
          <w:marLeft w:val="0"/>
          <w:marRight w:val="0"/>
          <w:marTop w:val="0"/>
          <w:marBottom w:val="0"/>
          <w:divBdr>
            <w:top w:val="none" w:sz="0" w:space="0" w:color="auto"/>
            <w:left w:val="none" w:sz="0" w:space="0" w:color="auto"/>
            <w:bottom w:val="none" w:sz="0" w:space="0" w:color="auto"/>
            <w:right w:val="none" w:sz="0" w:space="0" w:color="auto"/>
          </w:divBdr>
        </w:div>
        <w:div w:id="2083406167">
          <w:marLeft w:val="0"/>
          <w:marRight w:val="0"/>
          <w:marTop w:val="0"/>
          <w:marBottom w:val="0"/>
          <w:divBdr>
            <w:top w:val="none" w:sz="0" w:space="0" w:color="auto"/>
            <w:left w:val="none" w:sz="0" w:space="0" w:color="auto"/>
            <w:bottom w:val="none" w:sz="0" w:space="0" w:color="auto"/>
            <w:right w:val="none" w:sz="0" w:space="0" w:color="auto"/>
          </w:divBdr>
        </w:div>
        <w:div w:id="2112820600">
          <w:marLeft w:val="0"/>
          <w:marRight w:val="0"/>
          <w:marTop w:val="0"/>
          <w:marBottom w:val="0"/>
          <w:divBdr>
            <w:top w:val="none" w:sz="0" w:space="0" w:color="auto"/>
            <w:left w:val="none" w:sz="0" w:space="0" w:color="auto"/>
            <w:bottom w:val="none" w:sz="0" w:space="0" w:color="auto"/>
            <w:right w:val="none" w:sz="0" w:space="0" w:color="auto"/>
          </w:divBdr>
        </w:div>
        <w:div w:id="2132632309">
          <w:marLeft w:val="0"/>
          <w:marRight w:val="0"/>
          <w:marTop w:val="0"/>
          <w:marBottom w:val="0"/>
          <w:divBdr>
            <w:top w:val="none" w:sz="0" w:space="0" w:color="auto"/>
            <w:left w:val="none" w:sz="0" w:space="0" w:color="auto"/>
            <w:bottom w:val="none" w:sz="0" w:space="0" w:color="auto"/>
            <w:right w:val="none" w:sz="0" w:space="0" w:color="auto"/>
          </w:divBdr>
        </w:div>
      </w:divsChild>
    </w:div>
    <w:div w:id="1916550935">
      <w:bodyDiv w:val="1"/>
      <w:marLeft w:val="0"/>
      <w:marRight w:val="0"/>
      <w:marTop w:val="0"/>
      <w:marBottom w:val="0"/>
      <w:divBdr>
        <w:top w:val="none" w:sz="0" w:space="0" w:color="auto"/>
        <w:left w:val="none" w:sz="0" w:space="0" w:color="auto"/>
        <w:bottom w:val="none" w:sz="0" w:space="0" w:color="auto"/>
        <w:right w:val="none" w:sz="0" w:space="0" w:color="auto"/>
      </w:divBdr>
    </w:div>
    <w:div w:id="1984768012">
      <w:bodyDiv w:val="1"/>
      <w:marLeft w:val="0"/>
      <w:marRight w:val="0"/>
      <w:marTop w:val="0"/>
      <w:marBottom w:val="0"/>
      <w:divBdr>
        <w:top w:val="none" w:sz="0" w:space="0" w:color="auto"/>
        <w:left w:val="none" w:sz="0" w:space="0" w:color="auto"/>
        <w:bottom w:val="none" w:sz="0" w:space="0" w:color="auto"/>
        <w:right w:val="none" w:sz="0" w:space="0" w:color="auto"/>
      </w:divBdr>
    </w:div>
    <w:div w:id="200192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RBI5PAMIO524-1616901215-34279</_dlc_DocId>
    <_dlc_DocIdUrl xmlns="71c5aaf6-e6ce-465b-b873-5148d2a4c105">
      <Url>https://nokia.sharepoint.com/sites/gxp/_layouts/15/DocIdRedir.aspx?ID=RBI5PAMIO524-1616901215-34279</Url>
      <Description>RBI5PAMIO524-1616901215-34279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A00DC-DD8D-401E-9D73-EF34B46DE131}">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1C63ED9A-CEB9-49B5-A983-64D1C005A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2485</Words>
  <Characters>14167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16619</CharactersWithSpaces>
  <SharedDoc>false</SharedDoc>
  <HyperlinkBase/>
  <HLinks>
    <vt:vector size="6" baseType="variant">
      <vt:variant>
        <vt:i4>655467</vt:i4>
      </vt:variant>
      <vt:variant>
        <vt:i4>0</vt:i4>
      </vt:variant>
      <vt:variant>
        <vt:i4>0</vt:i4>
      </vt:variant>
      <vt:variant>
        <vt:i4>5</vt:i4>
      </vt:variant>
      <vt:variant>
        <vt:lpwstr>mailto:karim.kasan@nokia.com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7</cp:revision>
  <dcterms:created xsi:type="dcterms:W3CDTF">2024-11-07T09:18:00Z</dcterms:created>
  <dcterms:modified xsi:type="dcterms:W3CDTF">2024-11-07T11:52:00Z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18ecd05d-16ca-4dc4-b3b6-036ff73fcfa0</vt:lpwstr>
  </property>
</Properties>
</file>